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2D522" w14:textId="76A620F9" w:rsidR="00340016" w:rsidRPr="00340016" w:rsidRDefault="00340016" w:rsidP="00340016">
      <w:pPr>
        <w:rPr>
          <w:b/>
          <w:bCs/>
          <w:sz w:val="28"/>
          <w:szCs w:val="28"/>
          <w:lang w:val="en-US"/>
        </w:rPr>
      </w:pPr>
      <w:r w:rsidRPr="00340016">
        <w:rPr>
          <w:b/>
          <w:bCs/>
          <w:sz w:val="28"/>
          <w:szCs w:val="28"/>
          <w:lang w:val="en-US"/>
        </w:rPr>
        <w:t>The SENS algorithm—a new nutrient profiling system for food labelling in Europe</w:t>
      </w:r>
    </w:p>
    <w:p w14:paraId="333DEBE4" w14:textId="77777777" w:rsidR="00340016" w:rsidRPr="00340016" w:rsidRDefault="00340016" w:rsidP="00340016">
      <w:pPr>
        <w:rPr>
          <w:b/>
          <w:bCs/>
          <w:lang w:val="en-US"/>
        </w:rPr>
      </w:pPr>
    </w:p>
    <w:p w14:paraId="434EE7F8" w14:textId="77D96016" w:rsidR="00340016" w:rsidRPr="00340016" w:rsidRDefault="008914AD" w:rsidP="00340016">
      <w:pPr>
        <w:rPr>
          <w:b/>
          <w:bCs/>
          <w:lang w:val="en-US"/>
        </w:rPr>
      </w:pPr>
      <w:r>
        <w:rPr>
          <w:b/>
          <w:bCs/>
          <w:lang w:val="en-US"/>
        </w:rPr>
        <w:t>S</w:t>
      </w:r>
      <w:r w:rsidR="00340016" w:rsidRPr="00340016">
        <w:rPr>
          <w:b/>
          <w:bCs/>
          <w:lang w:val="en-US"/>
        </w:rPr>
        <w:t>ummary</w:t>
      </w:r>
    </w:p>
    <w:p w14:paraId="4525EE7C" w14:textId="77777777" w:rsidR="00340016" w:rsidRPr="00340016" w:rsidRDefault="00340016" w:rsidP="00340016">
      <w:pPr>
        <w:rPr>
          <w:lang w:val="en-US"/>
        </w:rPr>
      </w:pPr>
      <w:r w:rsidRPr="00340016">
        <w:rPr>
          <w:lang w:val="en-US"/>
        </w:rPr>
        <w:t xml:space="preserve">This summary presents the SENS algorithm, a nutrient profiling system adapted from the French </w:t>
      </w:r>
      <w:proofErr w:type="gramStart"/>
      <w:r w:rsidRPr="00340016">
        <w:rPr>
          <w:lang w:val="en-US"/>
        </w:rPr>
        <w:t>SAIN,LIM</w:t>
      </w:r>
      <w:proofErr w:type="gramEnd"/>
      <w:r w:rsidRPr="00340016">
        <w:rPr>
          <w:lang w:val="en-US"/>
        </w:rPr>
        <w:t xml:space="preserve"> model to support simplified front</w:t>
      </w:r>
      <w:r w:rsidRPr="00340016">
        <w:rPr>
          <w:lang w:val="en-US"/>
        </w:rPr>
        <w:noBreakHyphen/>
        <w:t>of</w:t>
      </w:r>
      <w:r w:rsidRPr="00340016">
        <w:rPr>
          <w:lang w:val="en-US"/>
        </w:rPr>
        <w:noBreakHyphen/>
        <w:t xml:space="preserve">pack nutrition labelling across Europe. The SENS system preserves </w:t>
      </w:r>
      <w:proofErr w:type="gramStart"/>
      <w:r w:rsidRPr="00340016">
        <w:rPr>
          <w:lang w:val="en-US"/>
        </w:rPr>
        <w:t>SAIN,LIM’s</w:t>
      </w:r>
      <w:proofErr w:type="gramEnd"/>
      <w:r w:rsidRPr="00340016">
        <w:rPr>
          <w:lang w:val="en-US"/>
        </w:rPr>
        <w:t xml:space="preserve"> two</w:t>
      </w:r>
      <w:r w:rsidRPr="00340016">
        <w:rPr>
          <w:lang w:val="en-US"/>
        </w:rPr>
        <w:noBreakHyphen/>
        <w:t>score, non</w:t>
      </w:r>
      <w:r w:rsidRPr="00340016">
        <w:rPr>
          <w:lang w:val="en-US"/>
        </w:rPr>
        <w:noBreakHyphen/>
        <w:t xml:space="preserve">compensatory logic (a </w:t>
      </w:r>
      <w:r w:rsidRPr="00340016">
        <w:rPr>
          <w:b/>
          <w:bCs/>
          <w:lang w:val="en-US"/>
        </w:rPr>
        <w:t>qualifying</w:t>
      </w:r>
      <w:r w:rsidRPr="00340016">
        <w:rPr>
          <w:lang w:val="en-US"/>
        </w:rPr>
        <w:t xml:space="preserve"> score and a </w:t>
      </w:r>
      <w:r w:rsidRPr="00340016">
        <w:rPr>
          <w:b/>
          <w:bCs/>
          <w:lang w:val="en-US"/>
        </w:rPr>
        <w:t>disqualifying</w:t>
      </w:r>
      <w:r w:rsidRPr="00340016">
        <w:rPr>
          <w:lang w:val="en-US"/>
        </w:rPr>
        <w:t xml:space="preserve"> score) while introducing category specificity, fewer and better</w:t>
      </w:r>
      <w:r w:rsidRPr="00340016">
        <w:rPr>
          <w:lang w:val="en-US"/>
        </w:rPr>
        <w:noBreakHyphen/>
        <w:t xml:space="preserve">targeted nutrients, European reference intakes, and secondary thresholds to reduce edge effects. The authors describe the algorithm’s design steps, the mathematical formulation of the </w:t>
      </w:r>
      <w:r w:rsidRPr="00340016">
        <w:rPr>
          <w:b/>
          <w:bCs/>
          <w:lang w:val="en-US"/>
        </w:rPr>
        <w:t>SAINSENS</w:t>
      </w:r>
      <w:r w:rsidRPr="00340016">
        <w:rPr>
          <w:lang w:val="en-US"/>
        </w:rPr>
        <w:t xml:space="preserve"> and </w:t>
      </w:r>
      <w:r w:rsidRPr="00340016">
        <w:rPr>
          <w:b/>
          <w:bCs/>
          <w:lang w:val="en-US"/>
        </w:rPr>
        <w:t>LIMSENS</w:t>
      </w:r>
      <w:r w:rsidRPr="00340016">
        <w:rPr>
          <w:lang w:val="en-US"/>
        </w:rPr>
        <w:t xml:space="preserve"> scores, rules for food </w:t>
      </w:r>
      <w:proofErr w:type="spellStart"/>
      <w:r w:rsidRPr="00340016">
        <w:rPr>
          <w:lang w:val="en-US"/>
        </w:rPr>
        <w:t>categorisation</w:t>
      </w:r>
      <w:proofErr w:type="spellEnd"/>
      <w:r w:rsidRPr="00340016">
        <w:rPr>
          <w:lang w:val="en-US"/>
        </w:rPr>
        <w:t>, and two pragmatic exceptions to the general ranking. They apply SENS to 1,065 foods from the French CIQUAL 2013 database and show that SENS discriminates foods both between and within food groups in ways that align with European dietary guidance: vegetables, fruits, fish, milk and unrefined starches rank higher, while discretionary and energy</w:t>
      </w:r>
      <w:r w:rsidRPr="00340016">
        <w:rPr>
          <w:lang w:val="en-US"/>
        </w:rPr>
        <w:noBreakHyphen/>
        <w:t>dense products concentrate in lower classes. The paper discusses strengths, limitations, data requirements, and implementation considerations for simplified labelling in Europe.</w:t>
      </w:r>
    </w:p>
    <w:p w14:paraId="7CB5ED09" w14:textId="77777777" w:rsidR="00340016" w:rsidRDefault="00340016" w:rsidP="00340016">
      <w:pPr>
        <w:rPr>
          <w:b/>
          <w:bCs/>
          <w:lang w:val="en-US"/>
        </w:rPr>
      </w:pPr>
    </w:p>
    <w:p w14:paraId="7BAE1E2E" w14:textId="1E3F47E5" w:rsidR="00340016" w:rsidRPr="00340016" w:rsidRDefault="00340016" w:rsidP="00340016">
      <w:pPr>
        <w:rPr>
          <w:b/>
          <w:bCs/>
          <w:lang w:val="en-US"/>
        </w:rPr>
      </w:pPr>
      <w:r w:rsidRPr="00340016">
        <w:rPr>
          <w:b/>
          <w:bCs/>
          <w:lang w:val="en-US"/>
        </w:rPr>
        <w:t>Background</w:t>
      </w:r>
    </w:p>
    <w:p w14:paraId="61C8BD0D" w14:textId="77777777" w:rsidR="00340016" w:rsidRPr="00340016" w:rsidRDefault="00340016" w:rsidP="00340016">
      <w:pPr>
        <w:rPr>
          <w:lang w:val="en-US"/>
        </w:rPr>
      </w:pPr>
      <w:r w:rsidRPr="00340016">
        <w:rPr>
          <w:b/>
          <w:bCs/>
          <w:lang w:val="en-US"/>
        </w:rPr>
        <w:t>Regulatory context and need</w:t>
      </w:r>
    </w:p>
    <w:p w14:paraId="6D097CC1" w14:textId="77777777" w:rsidR="00340016" w:rsidRDefault="00340016" w:rsidP="00340016">
      <w:pPr>
        <w:rPr>
          <w:lang w:val="en-US"/>
        </w:rPr>
      </w:pPr>
      <w:r w:rsidRPr="00340016">
        <w:rPr>
          <w:lang w:val="en-US"/>
        </w:rPr>
        <w:t>European Regulation (EU) No 1169/2011 allows simplified front</w:t>
      </w:r>
      <w:r w:rsidRPr="00340016">
        <w:rPr>
          <w:lang w:val="en-US"/>
        </w:rPr>
        <w:noBreakHyphen/>
        <w:t>of</w:t>
      </w:r>
      <w:r w:rsidRPr="00340016">
        <w:rPr>
          <w:lang w:val="en-US"/>
        </w:rPr>
        <w:noBreakHyphen/>
        <w:t>pack nutrition labelling but does not prescribe a single nutrient profiling model. A validated, transparent nutrient profiling system is therefore required to rank foods by nutritional quality and to underpin consumer</w:t>
      </w:r>
      <w:r w:rsidRPr="00340016">
        <w:rPr>
          <w:lang w:val="en-US"/>
        </w:rPr>
        <w:noBreakHyphen/>
        <w:t>facing labels. Existing models (e.g., FSA</w:t>
      </w:r>
      <w:r w:rsidRPr="00340016">
        <w:rPr>
          <w:lang w:val="en-US"/>
        </w:rPr>
        <w:noBreakHyphen/>
        <w:t>Ofcom, Health Star Rating, Traffic Light) either produce dichotomous outcomes or multiple nutrient indicators; each approach has trade</w:t>
      </w:r>
      <w:r w:rsidRPr="00340016">
        <w:rPr>
          <w:lang w:val="en-US"/>
        </w:rPr>
        <w:noBreakHyphen/>
        <w:t>offs in interpretability and potential consumer misuse.</w:t>
      </w:r>
    </w:p>
    <w:p w14:paraId="1E4CFE6E" w14:textId="77777777" w:rsidR="00340016" w:rsidRPr="00340016" w:rsidRDefault="00340016" w:rsidP="00340016">
      <w:pPr>
        <w:rPr>
          <w:lang w:val="en-US"/>
        </w:rPr>
      </w:pPr>
    </w:p>
    <w:p w14:paraId="2003DA92" w14:textId="77777777" w:rsidR="00340016" w:rsidRPr="00340016" w:rsidRDefault="00340016" w:rsidP="00340016">
      <w:pPr>
        <w:rPr>
          <w:lang w:val="en-US"/>
        </w:rPr>
      </w:pPr>
      <w:r w:rsidRPr="00340016">
        <w:rPr>
          <w:b/>
          <w:bCs/>
          <w:lang w:val="en-US"/>
        </w:rPr>
        <w:t>Origins and rationale</w:t>
      </w:r>
    </w:p>
    <w:p w14:paraId="4EE4E097" w14:textId="77777777" w:rsidR="00340016" w:rsidRPr="00340016" w:rsidRDefault="00340016" w:rsidP="00340016">
      <w:pPr>
        <w:rPr>
          <w:lang w:val="en-US"/>
        </w:rPr>
      </w:pPr>
      <w:r w:rsidRPr="00340016">
        <w:rPr>
          <w:lang w:val="en-US"/>
        </w:rPr>
        <w:t xml:space="preserve">The </w:t>
      </w:r>
      <w:proofErr w:type="gramStart"/>
      <w:r w:rsidRPr="00340016">
        <w:rPr>
          <w:lang w:val="en-US"/>
        </w:rPr>
        <w:t>SAIN,LIM</w:t>
      </w:r>
      <w:proofErr w:type="gramEnd"/>
      <w:r w:rsidRPr="00340016">
        <w:rPr>
          <w:lang w:val="en-US"/>
        </w:rPr>
        <w:t xml:space="preserve"> system (France, 2008) uses two independent scores: </w:t>
      </w:r>
      <w:r w:rsidRPr="00340016">
        <w:rPr>
          <w:b/>
          <w:bCs/>
          <w:lang w:val="en-US"/>
        </w:rPr>
        <w:t>SAIN</w:t>
      </w:r>
      <w:r w:rsidRPr="00340016">
        <w:rPr>
          <w:lang w:val="en-US"/>
        </w:rPr>
        <w:t xml:space="preserve"> (nutrient adequacy per 100 kcal) and </w:t>
      </w:r>
      <w:r w:rsidRPr="00340016">
        <w:rPr>
          <w:b/>
          <w:bCs/>
          <w:lang w:val="en-US"/>
        </w:rPr>
        <w:t>LIM</w:t>
      </w:r>
      <w:r w:rsidRPr="00340016">
        <w:rPr>
          <w:lang w:val="en-US"/>
        </w:rPr>
        <w:t xml:space="preserve"> (mean percentage of recommended maxima for nutrients to limit per 100 g). </w:t>
      </w:r>
      <w:proofErr w:type="gramStart"/>
      <w:r w:rsidRPr="00340016">
        <w:rPr>
          <w:lang w:val="en-US"/>
        </w:rPr>
        <w:t>SAIN,LIM’s</w:t>
      </w:r>
      <w:proofErr w:type="gramEnd"/>
      <w:r w:rsidRPr="00340016">
        <w:rPr>
          <w:lang w:val="en-US"/>
        </w:rPr>
        <w:t xml:space="preserve"> strengths are its grounding in official recommendations and its non</w:t>
      </w:r>
      <w:r w:rsidRPr="00340016">
        <w:rPr>
          <w:lang w:val="en-US"/>
        </w:rPr>
        <w:noBreakHyphen/>
        <w:t xml:space="preserve">compensatory structure (positive and negative scores are not netted). However, </w:t>
      </w:r>
      <w:proofErr w:type="gramStart"/>
      <w:r w:rsidRPr="00340016">
        <w:rPr>
          <w:lang w:val="en-US"/>
        </w:rPr>
        <w:t>SAIN,LIM</w:t>
      </w:r>
      <w:proofErr w:type="gramEnd"/>
      <w:r w:rsidRPr="00340016">
        <w:rPr>
          <w:lang w:val="en-US"/>
        </w:rPr>
        <w:t xml:space="preserve"> relied on French recommendations, included many nutrients, and produced edge effects across its four classes. The SENS project aimed to </w:t>
      </w:r>
      <w:r w:rsidRPr="00340016">
        <w:rPr>
          <w:lang w:val="en-US"/>
        </w:rPr>
        <w:lastRenderedPageBreak/>
        <w:t xml:space="preserve">retain </w:t>
      </w:r>
      <w:proofErr w:type="gramStart"/>
      <w:r w:rsidRPr="00340016">
        <w:rPr>
          <w:lang w:val="en-US"/>
        </w:rPr>
        <w:t>SAIN,LIM’s</w:t>
      </w:r>
      <w:proofErr w:type="gramEnd"/>
      <w:r w:rsidRPr="00340016">
        <w:rPr>
          <w:lang w:val="en-US"/>
        </w:rPr>
        <w:t xml:space="preserve"> strengths while adapting it to EU requirements and making it operational for simplified labelling.</w:t>
      </w:r>
    </w:p>
    <w:p w14:paraId="6D0742BA" w14:textId="77777777" w:rsidR="00340016" w:rsidRDefault="00340016" w:rsidP="00340016">
      <w:pPr>
        <w:rPr>
          <w:lang w:val="en-US"/>
        </w:rPr>
      </w:pPr>
    </w:p>
    <w:p w14:paraId="3F2E2B3B" w14:textId="77777777" w:rsidR="00340016" w:rsidRDefault="00340016" w:rsidP="00340016">
      <w:pPr>
        <w:rPr>
          <w:lang w:val="en-US"/>
        </w:rPr>
      </w:pPr>
    </w:p>
    <w:p w14:paraId="4637D077" w14:textId="4A97DE0B" w:rsidR="00340016" w:rsidRPr="00340016" w:rsidRDefault="00340016" w:rsidP="00340016">
      <w:pPr>
        <w:rPr>
          <w:b/>
          <w:bCs/>
          <w:lang w:val="en-US"/>
        </w:rPr>
      </w:pPr>
      <w:r w:rsidRPr="00340016">
        <w:rPr>
          <w:b/>
          <w:bCs/>
          <w:lang w:val="en-US"/>
        </w:rPr>
        <w:t>Materials and methods</w:t>
      </w:r>
    </w:p>
    <w:p w14:paraId="664542BD" w14:textId="77777777" w:rsidR="00340016" w:rsidRPr="00340016" w:rsidRDefault="00340016" w:rsidP="00340016">
      <w:pPr>
        <w:rPr>
          <w:lang w:val="en-US"/>
        </w:rPr>
      </w:pPr>
      <w:r w:rsidRPr="00340016">
        <w:rPr>
          <w:b/>
          <w:bCs/>
          <w:lang w:val="en-US"/>
        </w:rPr>
        <w:t>Development process</w:t>
      </w:r>
    </w:p>
    <w:p w14:paraId="0A1E40E1" w14:textId="77777777" w:rsidR="00340016" w:rsidRPr="00340016" w:rsidRDefault="00340016" w:rsidP="00340016">
      <w:pPr>
        <w:rPr>
          <w:lang w:val="en-US"/>
        </w:rPr>
      </w:pPr>
      <w:r w:rsidRPr="00340016">
        <w:rPr>
          <w:lang w:val="en-US"/>
        </w:rPr>
        <w:t>The SENS algorithm was developed following WHO guidance for a stepwise, transparent process. A multi</w:t>
      </w:r>
      <w:r w:rsidRPr="00340016">
        <w:rPr>
          <w:lang w:val="en-US"/>
        </w:rPr>
        <w:noBreakHyphen/>
        <w:t xml:space="preserve">stakeholder group (scientific experts, retailers, industry representatives) iteratively adapted </w:t>
      </w:r>
      <w:proofErr w:type="gramStart"/>
      <w:r w:rsidRPr="00340016">
        <w:rPr>
          <w:lang w:val="en-US"/>
        </w:rPr>
        <w:t>SAIN,LIM.</w:t>
      </w:r>
      <w:proofErr w:type="gramEnd"/>
      <w:r w:rsidRPr="00340016">
        <w:rPr>
          <w:lang w:val="en-US"/>
        </w:rPr>
        <w:t xml:space="preserve"> Key design choices were guided by public</w:t>
      </w:r>
      <w:r w:rsidRPr="00340016">
        <w:rPr>
          <w:lang w:val="en-US"/>
        </w:rPr>
        <w:noBreakHyphen/>
        <w:t xml:space="preserve">health priorities (fruits and vegetables, saturated fat, sodium, </w:t>
      </w:r>
      <w:proofErr w:type="spellStart"/>
      <w:r w:rsidRPr="00340016">
        <w:rPr>
          <w:lang w:val="en-US"/>
        </w:rPr>
        <w:t>fibre</w:t>
      </w:r>
      <w:proofErr w:type="spellEnd"/>
      <w:r w:rsidRPr="00340016">
        <w:rPr>
          <w:lang w:val="en-US"/>
        </w:rPr>
        <w:t>, unsaturated fats), the need for category specificity, and the requirement to use EU reference intakes (EU</w:t>
      </w:r>
      <w:r w:rsidRPr="00340016">
        <w:rPr>
          <w:lang w:val="en-US"/>
        </w:rPr>
        <w:noBreakHyphen/>
        <w:t>RIs) where available.</w:t>
      </w:r>
    </w:p>
    <w:p w14:paraId="45ABA0A6" w14:textId="77777777" w:rsidR="00340016" w:rsidRPr="00340016" w:rsidRDefault="00340016" w:rsidP="00340016">
      <w:pPr>
        <w:rPr>
          <w:lang w:val="en-US"/>
        </w:rPr>
      </w:pPr>
      <w:r w:rsidRPr="00340016">
        <w:rPr>
          <w:b/>
          <w:bCs/>
          <w:lang w:val="en-US"/>
        </w:rPr>
        <w:t xml:space="preserve">Main adaptations from </w:t>
      </w:r>
      <w:proofErr w:type="gramStart"/>
      <w:r w:rsidRPr="00340016">
        <w:rPr>
          <w:b/>
          <w:bCs/>
          <w:lang w:val="en-US"/>
        </w:rPr>
        <w:t>SAIN,LIM</w:t>
      </w:r>
      <w:proofErr w:type="gramEnd"/>
    </w:p>
    <w:p w14:paraId="643EE0E3" w14:textId="77777777" w:rsidR="00340016" w:rsidRPr="00340016" w:rsidRDefault="00340016" w:rsidP="00340016">
      <w:pPr>
        <w:numPr>
          <w:ilvl w:val="0"/>
          <w:numId w:val="1"/>
        </w:numPr>
        <w:rPr>
          <w:lang w:val="en-US"/>
        </w:rPr>
      </w:pPr>
      <w:r w:rsidRPr="00340016">
        <w:rPr>
          <w:b/>
          <w:bCs/>
          <w:lang w:val="en-US"/>
        </w:rPr>
        <w:t>Food categories and subcategories</w:t>
      </w:r>
      <w:r w:rsidRPr="00340016">
        <w:rPr>
          <w:lang w:val="en-US"/>
        </w:rPr>
        <w:t>: Three main categories—</w:t>
      </w:r>
      <w:r w:rsidRPr="00340016">
        <w:rPr>
          <w:b/>
          <w:bCs/>
          <w:lang w:val="en-US"/>
        </w:rPr>
        <w:t>Beverages</w:t>
      </w:r>
      <w:r w:rsidRPr="00340016">
        <w:rPr>
          <w:lang w:val="en-US"/>
        </w:rPr>
        <w:t xml:space="preserve">, </w:t>
      </w:r>
      <w:r w:rsidRPr="00340016">
        <w:rPr>
          <w:b/>
          <w:bCs/>
          <w:lang w:val="en-US"/>
        </w:rPr>
        <w:t>Added Fats</w:t>
      </w:r>
      <w:r w:rsidRPr="00340016">
        <w:rPr>
          <w:lang w:val="en-US"/>
        </w:rPr>
        <w:t xml:space="preserve">, and </w:t>
      </w:r>
      <w:r w:rsidRPr="00340016">
        <w:rPr>
          <w:b/>
          <w:bCs/>
          <w:lang w:val="en-US"/>
        </w:rPr>
        <w:t>Other Solid Foods</w:t>
      </w:r>
      <w:r w:rsidRPr="00340016">
        <w:rPr>
          <w:lang w:val="en-US"/>
        </w:rPr>
        <w:t>. The latter is sub</w:t>
      </w:r>
      <w:r w:rsidRPr="00340016">
        <w:rPr>
          <w:lang w:val="en-US"/>
        </w:rPr>
        <w:noBreakHyphen/>
      </w:r>
      <w:proofErr w:type="spellStart"/>
      <w:r w:rsidRPr="00340016">
        <w:rPr>
          <w:lang w:val="en-US"/>
        </w:rPr>
        <w:t>categorised</w:t>
      </w:r>
      <w:proofErr w:type="spellEnd"/>
      <w:r w:rsidRPr="00340016">
        <w:rPr>
          <w:lang w:val="en-US"/>
        </w:rPr>
        <w:t xml:space="preserve"> into </w:t>
      </w:r>
      <w:r w:rsidRPr="00340016">
        <w:rPr>
          <w:b/>
          <w:bCs/>
          <w:lang w:val="en-US"/>
        </w:rPr>
        <w:t>cereals</w:t>
      </w:r>
      <w:r w:rsidRPr="00340016">
        <w:rPr>
          <w:lang w:val="en-US"/>
        </w:rPr>
        <w:t xml:space="preserve">, </w:t>
      </w:r>
      <w:r w:rsidRPr="00340016">
        <w:rPr>
          <w:b/>
          <w:bCs/>
          <w:lang w:val="en-US"/>
        </w:rPr>
        <w:t>cheese</w:t>
      </w:r>
      <w:r w:rsidRPr="00340016">
        <w:rPr>
          <w:lang w:val="en-US"/>
        </w:rPr>
        <w:t xml:space="preserve">, </w:t>
      </w:r>
      <w:r w:rsidRPr="00340016">
        <w:rPr>
          <w:b/>
          <w:bCs/>
          <w:lang w:val="en-US"/>
        </w:rPr>
        <w:t>other dairy products</w:t>
      </w:r>
      <w:r w:rsidRPr="00340016">
        <w:rPr>
          <w:lang w:val="en-US"/>
        </w:rPr>
        <w:t xml:space="preserve">, </w:t>
      </w:r>
      <w:r w:rsidRPr="00340016">
        <w:rPr>
          <w:b/>
          <w:bCs/>
          <w:lang w:val="en-US"/>
        </w:rPr>
        <w:t>eggs</w:t>
      </w:r>
      <w:r w:rsidRPr="00340016">
        <w:rPr>
          <w:lang w:val="en-US"/>
        </w:rPr>
        <w:t xml:space="preserve">, </w:t>
      </w:r>
      <w:r w:rsidRPr="00340016">
        <w:rPr>
          <w:b/>
          <w:bCs/>
          <w:lang w:val="en-US"/>
        </w:rPr>
        <w:t>fish</w:t>
      </w:r>
      <w:r w:rsidRPr="00340016">
        <w:rPr>
          <w:lang w:val="en-US"/>
        </w:rPr>
        <w:t xml:space="preserve">, and </w:t>
      </w:r>
      <w:r w:rsidRPr="00340016">
        <w:rPr>
          <w:b/>
          <w:bCs/>
          <w:lang w:val="en-US"/>
        </w:rPr>
        <w:t>others</w:t>
      </w:r>
      <w:r w:rsidRPr="00340016">
        <w:rPr>
          <w:lang w:val="en-US"/>
        </w:rPr>
        <w:t xml:space="preserve"> based on ingredient proportion thresholds (&gt;50% or &gt;70% for cheese).</w:t>
      </w:r>
    </w:p>
    <w:p w14:paraId="5B464379" w14:textId="77777777" w:rsidR="00340016" w:rsidRPr="00340016" w:rsidRDefault="00340016" w:rsidP="00340016">
      <w:pPr>
        <w:numPr>
          <w:ilvl w:val="0"/>
          <w:numId w:val="1"/>
        </w:numPr>
        <w:rPr>
          <w:lang w:val="en-US"/>
        </w:rPr>
      </w:pPr>
      <w:r w:rsidRPr="00340016">
        <w:rPr>
          <w:b/>
          <w:bCs/>
          <w:lang w:val="en-US"/>
        </w:rPr>
        <w:t>Reduced and category</w:t>
      </w:r>
      <w:r w:rsidRPr="00340016">
        <w:rPr>
          <w:b/>
          <w:bCs/>
          <w:lang w:val="en-US"/>
        </w:rPr>
        <w:noBreakHyphen/>
        <w:t>specific nutrients</w:t>
      </w:r>
      <w:r w:rsidRPr="00340016">
        <w:rPr>
          <w:lang w:val="en-US"/>
        </w:rPr>
        <w:t>: Fewer qualifying nutrients overall; category</w:t>
      </w:r>
      <w:r w:rsidRPr="00340016">
        <w:rPr>
          <w:lang w:val="en-US"/>
        </w:rPr>
        <w:noBreakHyphen/>
        <w:t>specific markers introduced (e.g., vitamin C and proportion of fruits/vegetables for beverages; ALA and MUFA for added fats; calcium for cheeses).</w:t>
      </w:r>
    </w:p>
    <w:p w14:paraId="31975F16" w14:textId="77777777" w:rsidR="00340016" w:rsidRPr="00340016" w:rsidRDefault="00340016" w:rsidP="00340016">
      <w:pPr>
        <w:numPr>
          <w:ilvl w:val="0"/>
          <w:numId w:val="1"/>
        </w:numPr>
        <w:rPr>
          <w:lang w:val="en-US"/>
        </w:rPr>
      </w:pPr>
      <w:r w:rsidRPr="00340016">
        <w:rPr>
          <w:b/>
          <w:bCs/>
          <w:lang w:val="en-US"/>
        </w:rPr>
        <w:t>Reference values</w:t>
      </w:r>
      <w:r w:rsidRPr="00340016">
        <w:rPr>
          <w:lang w:val="en-US"/>
        </w:rPr>
        <w:t>: French recommendations replaced by EU</w:t>
      </w:r>
      <w:r w:rsidRPr="00340016">
        <w:rPr>
          <w:lang w:val="en-US"/>
        </w:rPr>
        <w:noBreakHyphen/>
        <w:t>RIs from Regulation EC 1169/2011; where EU</w:t>
      </w:r>
      <w:r w:rsidRPr="00340016">
        <w:rPr>
          <w:lang w:val="en-US"/>
        </w:rPr>
        <w:noBreakHyphen/>
        <w:t xml:space="preserve">RIs were absent, WHO, EFSA or FAO values were used (e.g., free sugars, ALA, MUFA). A pragmatic reference intake of </w:t>
      </w:r>
      <w:r w:rsidRPr="00340016">
        <w:rPr>
          <w:b/>
          <w:bCs/>
          <w:lang w:val="en-US"/>
        </w:rPr>
        <w:t xml:space="preserve">20 g </w:t>
      </w:r>
      <w:proofErr w:type="spellStart"/>
      <w:r w:rsidRPr="00340016">
        <w:rPr>
          <w:b/>
          <w:bCs/>
          <w:lang w:val="en-US"/>
        </w:rPr>
        <w:t>fibre</w:t>
      </w:r>
      <w:proofErr w:type="spellEnd"/>
      <w:r w:rsidRPr="00340016">
        <w:rPr>
          <w:b/>
          <w:bCs/>
          <w:lang w:val="en-US"/>
        </w:rPr>
        <w:t>/day</w:t>
      </w:r>
      <w:r w:rsidRPr="00340016">
        <w:rPr>
          <w:lang w:val="en-US"/>
        </w:rPr>
        <w:t xml:space="preserve"> was chosen as an intermediate value.</w:t>
      </w:r>
    </w:p>
    <w:p w14:paraId="17279893" w14:textId="77777777" w:rsidR="00340016" w:rsidRPr="00340016" w:rsidRDefault="00340016" w:rsidP="00340016">
      <w:pPr>
        <w:numPr>
          <w:ilvl w:val="0"/>
          <w:numId w:val="1"/>
        </w:numPr>
        <w:rPr>
          <w:lang w:val="en-US"/>
        </w:rPr>
      </w:pPr>
      <w:r w:rsidRPr="00340016">
        <w:rPr>
          <w:b/>
          <w:bCs/>
          <w:lang w:val="en-US"/>
        </w:rPr>
        <w:t>Secondary thresholds</w:t>
      </w:r>
      <w:r w:rsidRPr="00340016">
        <w:rPr>
          <w:lang w:val="en-US"/>
        </w:rPr>
        <w:t xml:space="preserve">: In addition to primary thresholds inherited from </w:t>
      </w:r>
      <w:proofErr w:type="gramStart"/>
      <w:r w:rsidRPr="00340016">
        <w:rPr>
          <w:lang w:val="en-US"/>
        </w:rPr>
        <w:t>SAIN,LIM</w:t>
      </w:r>
      <w:proofErr w:type="gramEnd"/>
      <w:r w:rsidRPr="00340016">
        <w:rPr>
          <w:lang w:val="en-US"/>
        </w:rPr>
        <w:t xml:space="preserve"> (SAIN = 5; LIM = 7.5), secondary thresholds were introduced to order the four classes and limit edge effects.</w:t>
      </w:r>
    </w:p>
    <w:p w14:paraId="6F770806" w14:textId="77777777" w:rsidR="00340016" w:rsidRDefault="00340016" w:rsidP="00340016">
      <w:pPr>
        <w:rPr>
          <w:b/>
          <w:bCs/>
          <w:lang w:val="en-US"/>
        </w:rPr>
      </w:pPr>
    </w:p>
    <w:p w14:paraId="6515011D" w14:textId="693D4B1A" w:rsidR="00340016" w:rsidRPr="00340016" w:rsidRDefault="00340016" w:rsidP="00340016">
      <w:pPr>
        <w:rPr>
          <w:lang w:val="en-US"/>
        </w:rPr>
      </w:pPr>
      <w:r w:rsidRPr="00340016">
        <w:rPr>
          <w:b/>
          <w:bCs/>
          <w:lang w:val="en-US"/>
        </w:rPr>
        <w:t>Data and application</w:t>
      </w:r>
    </w:p>
    <w:p w14:paraId="71D89AD6" w14:textId="77777777" w:rsidR="00340016" w:rsidRPr="00340016" w:rsidRDefault="00340016" w:rsidP="00340016">
      <w:pPr>
        <w:rPr>
          <w:lang w:val="en-US"/>
        </w:rPr>
      </w:pPr>
      <w:r w:rsidRPr="00340016">
        <w:rPr>
          <w:lang w:val="en-US"/>
        </w:rPr>
        <w:t>The algorithm was applied to 1,065 non</w:t>
      </w:r>
      <w:r w:rsidRPr="00340016">
        <w:rPr>
          <w:lang w:val="en-US"/>
        </w:rPr>
        <w:noBreakHyphen/>
        <w:t xml:space="preserve">alcoholic foods and beverages from the CIQUAL 2013 French composition database. Missing values (notably free sugars and fruit/vegetable proportions) were estimated using established methodologies and standard recipes. Foods were assigned to SENS classes and </w:t>
      </w:r>
      <w:proofErr w:type="spellStart"/>
      <w:r w:rsidRPr="00340016">
        <w:rPr>
          <w:lang w:val="en-US"/>
        </w:rPr>
        <w:t>analysed</w:t>
      </w:r>
      <w:proofErr w:type="spellEnd"/>
      <w:r w:rsidRPr="00340016">
        <w:rPr>
          <w:lang w:val="en-US"/>
        </w:rPr>
        <w:t xml:space="preserve"> by 26 food </w:t>
      </w:r>
      <w:r w:rsidRPr="00340016">
        <w:rPr>
          <w:lang w:val="en-US"/>
        </w:rPr>
        <w:lastRenderedPageBreak/>
        <w:t>groups. Energy density (ED) and a previously published nutrient density score (NDS) were computed to validate SENS classifications.</w:t>
      </w:r>
    </w:p>
    <w:p w14:paraId="1DB8F3C3" w14:textId="77777777" w:rsidR="00340016" w:rsidRPr="00340016" w:rsidRDefault="00340016" w:rsidP="00340016">
      <w:pPr>
        <w:rPr>
          <w:lang w:val="en-US"/>
        </w:rPr>
      </w:pPr>
      <w:r w:rsidRPr="00340016">
        <w:rPr>
          <w:lang w:val="en-US"/>
        </w:rPr>
        <w:pict w14:anchorId="3A58B92B">
          <v:rect id="_x0000_i1063" style="width:0;height:1.5pt" o:hralign="center" o:hrstd="t" o:hr="t" fillcolor="#a0a0a0" stroked="f"/>
        </w:pict>
      </w:r>
    </w:p>
    <w:p w14:paraId="5B6C4898" w14:textId="77777777" w:rsidR="00340016" w:rsidRPr="00340016" w:rsidRDefault="00340016" w:rsidP="00340016">
      <w:pPr>
        <w:rPr>
          <w:b/>
          <w:bCs/>
          <w:lang w:val="en-US"/>
        </w:rPr>
      </w:pPr>
      <w:r w:rsidRPr="00340016">
        <w:rPr>
          <w:b/>
          <w:bCs/>
          <w:lang w:val="en-US"/>
        </w:rPr>
        <w:t>The SENS algorithm</w:t>
      </w:r>
    </w:p>
    <w:p w14:paraId="6429D75E" w14:textId="77777777" w:rsidR="00340016" w:rsidRPr="00340016" w:rsidRDefault="00340016" w:rsidP="00340016">
      <w:pPr>
        <w:rPr>
          <w:lang w:val="en-US"/>
        </w:rPr>
      </w:pPr>
      <w:r w:rsidRPr="00340016">
        <w:rPr>
          <w:b/>
          <w:bCs/>
          <w:lang w:val="en-US"/>
        </w:rPr>
        <w:t>Overview</w:t>
      </w:r>
    </w:p>
    <w:p w14:paraId="34381D6C" w14:textId="77777777" w:rsidR="00340016" w:rsidRPr="00340016" w:rsidRDefault="00340016" w:rsidP="00340016">
      <w:pPr>
        <w:rPr>
          <w:lang w:val="en-US"/>
        </w:rPr>
      </w:pPr>
      <w:r w:rsidRPr="00340016">
        <w:rPr>
          <w:lang w:val="en-US"/>
        </w:rPr>
        <w:t>SENS assigns each food to one of four classes using two independent scores:</w:t>
      </w:r>
    </w:p>
    <w:p w14:paraId="67CD7DC4" w14:textId="77777777" w:rsidR="00340016" w:rsidRPr="00340016" w:rsidRDefault="00340016" w:rsidP="00340016">
      <w:pPr>
        <w:numPr>
          <w:ilvl w:val="0"/>
          <w:numId w:val="2"/>
        </w:numPr>
        <w:rPr>
          <w:lang w:val="en-US"/>
        </w:rPr>
      </w:pPr>
      <w:r w:rsidRPr="00340016">
        <w:rPr>
          <w:b/>
          <w:bCs/>
          <w:lang w:val="en-US"/>
        </w:rPr>
        <w:t>SAINSENS</w:t>
      </w:r>
      <w:r w:rsidRPr="00340016">
        <w:rPr>
          <w:lang w:val="en-US"/>
        </w:rPr>
        <w:t xml:space="preserve"> — a qualifying score expressed as mean percentage adequacy of selected positive nutrients per </w:t>
      </w:r>
      <w:r w:rsidRPr="00340016">
        <w:rPr>
          <w:b/>
          <w:bCs/>
          <w:lang w:val="en-US"/>
        </w:rPr>
        <w:t>100 kcal</w:t>
      </w:r>
      <w:r w:rsidRPr="00340016">
        <w:rPr>
          <w:lang w:val="en-US"/>
        </w:rPr>
        <w:t>, plus the proportion of fruits/vegetables (g/g) where relevant.</w:t>
      </w:r>
    </w:p>
    <w:p w14:paraId="515EB79F" w14:textId="77777777" w:rsidR="00340016" w:rsidRPr="00340016" w:rsidRDefault="00340016" w:rsidP="00340016">
      <w:pPr>
        <w:numPr>
          <w:ilvl w:val="0"/>
          <w:numId w:val="2"/>
        </w:numPr>
        <w:rPr>
          <w:lang w:val="en-US"/>
        </w:rPr>
      </w:pPr>
      <w:r w:rsidRPr="00340016">
        <w:rPr>
          <w:b/>
          <w:bCs/>
          <w:lang w:val="en-US"/>
        </w:rPr>
        <w:t>LIMSENS</w:t>
      </w:r>
      <w:r w:rsidRPr="00340016">
        <w:rPr>
          <w:lang w:val="en-US"/>
        </w:rPr>
        <w:t xml:space="preserve"> — a disqualifying score expressed as mean percentage of maximal recommended values for selected negative nutrients per </w:t>
      </w:r>
      <w:r w:rsidRPr="00340016">
        <w:rPr>
          <w:b/>
          <w:bCs/>
          <w:lang w:val="en-US"/>
        </w:rPr>
        <w:t>100 g</w:t>
      </w:r>
      <w:r w:rsidRPr="00340016">
        <w:rPr>
          <w:lang w:val="en-US"/>
        </w:rPr>
        <w:t>.</w:t>
      </w:r>
    </w:p>
    <w:p w14:paraId="39B72C6C" w14:textId="77777777" w:rsidR="00340016" w:rsidRPr="00340016" w:rsidRDefault="00340016" w:rsidP="00340016">
      <w:pPr>
        <w:rPr>
          <w:lang w:val="en-US"/>
        </w:rPr>
      </w:pPr>
      <w:r w:rsidRPr="00340016">
        <w:rPr>
          <w:lang w:val="en-US"/>
        </w:rPr>
        <w:t xml:space="preserve">The algorithm follows three practical steps: (1) collect composition and ingredient information and </w:t>
      </w:r>
      <w:proofErr w:type="spellStart"/>
      <w:r w:rsidRPr="00340016">
        <w:rPr>
          <w:lang w:val="en-US"/>
        </w:rPr>
        <w:t>categorise</w:t>
      </w:r>
      <w:proofErr w:type="spellEnd"/>
      <w:r w:rsidRPr="00340016">
        <w:rPr>
          <w:lang w:val="en-US"/>
        </w:rPr>
        <w:t xml:space="preserve"> the food; (2) compute SAINSENS and LIMSENS using category</w:t>
      </w:r>
      <w:r w:rsidRPr="00340016">
        <w:rPr>
          <w:lang w:val="en-US"/>
        </w:rPr>
        <w:noBreakHyphen/>
        <w:t>specific formulas; (3) allocate the food to a class using primary and secondary thresholds and a small set of exception rules.</w:t>
      </w:r>
    </w:p>
    <w:p w14:paraId="43300706" w14:textId="77777777" w:rsidR="00340016" w:rsidRPr="00340016" w:rsidRDefault="00340016" w:rsidP="00340016">
      <w:pPr>
        <w:rPr>
          <w:lang w:val="en-US"/>
        </w:rPr>
      </w:pPr>
      <w:r w:rsidRPr="00340016">
        <w:rPr>
          <w:b/>
          <w:bCs/>
          <w:lang w:val="en-US"/>
        </w:rPr>
        <w:t xml:space="preserve">Food </w:t>
      </w:r>
      <w:proofErr w:type="spellStart"/>
      <w:r w:rsidRPr="00340016">
        <w:rPr>
          <w:b/>
          <w:bCs/>
          <w:lang w:val="en-US"/>
        </w:rPr>
        <w:t>categorisation</w:t>
      </w:r>
      <w:proofErr w:type="spellEnd"/>
      <w:r w:rsidRPr="00340016">
        <w:rPr>
          <w:b/>
          <w:bCs/>
          <w:lang w:val="en-US"/>
        </w:rPr>
        <w:t xml:space="preserve"> and ingredient rules</w:t>
      </w:r>
    </w:p>
    <w:p w14:paraId="248A3837" w14:textId="77777777" w:rsidR="00340016" w:rsidRPr="00340016" w:rsidRDefault="00340016" w:rsidP="00340016">
      <w:pPr>
        <w:numPr>
          <w:ilvl w:val="0"/>
          <w:numId w:val="3"/>
        </w:numPr>
        <w:rPr>
          <w:lang w:val="en-US"/>
        </w:rPr>
      </w:pPr>
      <w:r w:rsidRPr="00340016">
        <w:rPr>
          <w:b/>
          <w:bCs/>
          <w:lang w:val="en-US"/>
        </w:rPr>
        <w:t>Beverages</w:t>
      </w:r>
      <w:r w:rsidRPr="00340016">
        <w:rPr>
          <w:lang w:val="en-US"/>
        </w:rPr>
        <w:t>: water and other beverages (excluding milk and plant</w:t>
      </w:r>
      <w:r w:rsidRPr="00340016">
        <w:rPr>
          <w:lang w:val="en-US"/>
        </w:rPr>
        <w:noBreakHyphen/>
        <w:t>based milks). For beverages, SAINSENS uses vitamin C and FV proportion; LIMSENS is multiplied by 2.5 to reflect the concentrated impact of disqualifying nutrients in beverages.</w:t>
      </w:r>
    </w:p>
    <w:p w14:paraId="659B50F2" w14:textId="77777777" w:rsidR="00340016" w:rsidRPr="00340016" w:rsidRDefault="00340016" w:rsidP="00340016">
      <w:pPr>
        <w:numPr>
          <w:ilvl w:val="0"/>
          <w:numId w:val="3"/>
        </w:numPr>
        <w:rPr>
          <w:lang w:val="en-US"/>
        </w:rPr>
      </w:pPr>
      <w:r w:rsidRPr="00340016">
        <w:rPr>
          <w:b/>
          <w:bCs/>
          <w:lang w:val="en-US"/>
        </w:rPr>
        <w:t>Added Fats</w:t>
      </w:r>
      <w:r w:rsidRPr="00340016">
        <w:rPr>
          <w:lang w:val="en-US"/>
        </w:rPr>
        <w:t>: visible fats added by consumers (oils, butter, mayonnaise). SAINSENS uses ALA and MUFA as qualifying nutrients.</w:t>
      </w:r>
    </w:p>
    <w:p w14:paraId="127D523F" w14:textId="77777777" w:rsidR="00340016" w:rsidRPr="00340016" w:rsidRDefault="00340016" w:rsidP="00340016">
      <w:pPr>
        <w:numPr>
          <w:ilvl w:val="0"/>
          <w:numId w:val="3"/>
        </w:numPr>
        <w:rPr>
          <w:lang w:val="en-US"/>
        </w:rPr>
      </w:pPr>
      <w:r w:rsidRPr="00340016">
        <w:rPr>
          <w:b/>
          <w:bCs/>
          <w:lang w:val="en-US"/>
        </w:rPr>
        <w:t>Other Solid Foods</w:t>
      </w:r>
      <w:r w:rsidRPr="00340016">
        <w:rPr>
          <w:lang w:val="en-US"/>
        </w:rPr>
        <w:t>: all remaining foods, sub</w:t>
      </w:r>
      <w:r w:rsidRPr="00340016">
        <w:rPr>
          <w:lang w:val="en-US"/>
        </w:rPr>
        <w:noBreakHyphen/>
      </w:r>
      <w:proofErr w:type="spellStart"/>
      <w:r w:rsidRPr="00340016">
        <w:rPr>
          <w:lang w:val="en-US"/>
        </w:rPr>
        <w:t>categorised</w:t>
      </w:r>
      <w:proofErr w:type="spellEnd"/>
      <w:r w:rsidRPr="00340016">
        <w:rPr>
          <w:lang w:val="en-US"/>
        </w:rPr>
        <w:t xml:space="preserve"> when a single ingredient exceeds a threshold (e.g., cereals &gt;50% → cereals subcategory). Subcategory</w:t>
      </w:r>
      <w:r w:rsidRPr="00340016">
        <w:rPr>
          <w:lang w:val="en-US"/>
        </w:rPr>
        <w:noBreakHyphen/>
        <w:t xml:space="preserve">specific nutrients and weighting factors are applied (e.g., </w:t>
      </w:r>
      <w:proofErr w:type="spellStart"/>
      <w:r w:rsidRPr="00340016">
        <w:rPr>
          <w:lang w:val="en-US"/>
        </w:rPr>
        <w:t>fibres</w:t>
      </w:r>
      <w:proofErr w:type="spellEnd"/>
      <w:r w:rsidRPr="00340016">
        <w:rPr>
          <w:lang w:val="en-US"/>
        </w:rPr>
        <w:t xml:space="preserve"> ×3 for cereals; proteins ×2 for eggs and fish; calcium weighted for cheese).</w:t>
      </w:r>
    </w:p>
    <w:p w14:paraId="6CC8F7CD" w14:textId="77777777" w:rsidR="00340016" w:rsidRPr="00340016" w:rsidRDefault="00340016" w:rsidP="00340016">
      <w:pPr>
        <w:rPr>
          <w:lang w:val="en-US"/>
        </w:rPr>
      </w:pPr>
      <w:r w:rsidRPr="00340016">
        <w:rPr>
          <w:b/>
          <w:bCs/>
          <w:lang w:val="en-US"/>
        </w:rPr>
        <w:t>SAINSENS calculation</w:t>
      </w:r>
    </w:p>
    <w:p w14:paraId="74D76729" w14:textId="77777777" w:rsidR="00340016" w:rsidRPr="00340016" w:rsidRDefault="00340016" w:rsidP="00340016">
      <w:pPr>
        <w:numPr>
          <w:ilvl w:val="0"/>
          <w:numId w:val="4"/>
        </w:numPr>
        <w:rPr>
          <w:lang w:val="en-US"/>
        </w:rPr>
      </w:pPr>
      <w:r w:rsidRPr="00340016">
        <w:rPr>
          <w:lang w:val="en-US"/>
        </w:rPr>
        <w:t xml:space="preserve">Expressed per </w:t>
      </w:r>
      <w:r w:rsidRPr="00340016">
        <w:rPr>
          <w:b/>
          <w:bCs/>
          <w:lang w:val="en-US"/>
        </w:rPr>
        <w:t>100 kcal</w:t>
      </w:r>
      <w:r w:rsidRPr="00340016">
        <w:rPr>
          <w:lang w:val="en-US"/>
        </w:rPr>
        <w:t>.</w:t>
      </w:r>
    </w:p>
    <w:p w14:paraId="069D7B1F" w14:textId="77777777" w:rsidR="00340016" w:rsidRPr="00340016" w:rsidRDefault="00340016" w:rsidP="00340016">
      <w:pPr>
        <w:numPr>
          <w:ilvl w:val="0"/>
          <w:numId w:val="4"/>
        </w:numPr>
        <w:rPr>
          <w:lang w:val="en-US"/>
        </w:rPr>
      </w:pPr>
      <w:r w:rsidRPr="00340016">
        <w:rPr>
          <w:b/>
          <w:bCs/>
          <w:lang w:val="en-US"/>
        </w:rPr>
        <w:t>Beverages</w:t>
      </w:r>
      <w:r w:rsidRPr="00340016">
        <w:rPr>
          <w:lang w:val="en-US"/>
        </w:rPr>
        <w:t>: mean of proportion of FV (g/g) and % of EU</w:t>
      </w:r>
      <w:r w:rsidRPr="00340016">
        <w:rPr>
          <w:lang w:val="en-US"/>
        </w:rPr>
        <w:noBreakHyphen/>
        <w:t>RI for vitamin C (adjusted by FV proportion to avoid upgrading drinks with marginal FV).</w:t>
      </w:r>
    </w:p>
    <w:p w14:paraId="6289050A" w14:textId="77777777" w:rsidR="00340016" w:rsidRPr="00340016" w:rsidRDefault="00340016" w:rsidP="00340016">
      <w:pPr>
        <w:numPr>
          <w:ilvl w:val="0"/>
          <w:numId w:val="4"/>
        </w:numPr>
        <w:rPr>
          <w:lang w:val="en-US"/>
        </w:rPr>
      </w:pPr>
      <w:r w:rsidRPr="00340016">
        <w:rPr>
          <w:b/>
          <w:bCs/>
          <w:lang w:val="en-US"/>
        </w:rPr>
        <w:t>Added Fats</w:t>
      </w:r>
      <w:r w:rsidRPr="00340016">
        <w:rPr>
          <w:lang w:val="en-US"/>
        </w:rPr>
        <w:t>: mean of % of recommended intakes for ALA and MUFA (FAO/EFSA references).</w:t>
      </w:r>
    </w:p>
    <w:p w14:paraId="3D9333FD" w14:textId="77777777" w:rsidR="00340016" w:rsidRPr="00340016" w:rsidRDefault="00340016" w:rsidP="00340016">
      <w:pPr>
        <w:numPr>
          <w:ilvl w:val="0"/>
          <w:numId w:val="4"/>
        </w:numPr>
        <w:rPr>
          <w:lang w:val="en-US"/>
        </w:rPr>
      </w:pPr>
      <w:r w:rsidRPr="00340016">
        <w:rPr>
          <w:b/>
          <w:bCs/>
          <w:lang w:val="en-US"/>
        </w:rPr>
        <w:lastRenderedPageBreak/>
        <w:t>Other Solid Foods</w:t>
      </w:r>
      <w:r w:rsidRPr="00340016">
        <w:rPr>
          <w:lang w:val="en-US"/>
        </w:rPr>
        <w:t>: mean of proportion of FV, % EU</w:t>
      </w:r>
      <w:r w:rsidRPr="00340016">
        <w:rPr>
          <w:lang w:val="en-US"/>
        </w:rPr>
        <w:noBreakHyphen/>
        <w:t xml:space="preserve">RI for proteins, and % reference intake for </w:t>
      </w:r>
      <w:proofErr w:type="spellStart"/>
      <w:r w:rsidRPr="00340016">
        <w:rPr>
          <w:lang w:val="en-US"/>
        </w:rPr>
        <w:t>fibres</w:t>
      </w:r>
      <w:proofErr w:type="spellEnd"/>
      <w:r w:rsidRPr="00340016">
        <w:rPr>
          <w:lang w:val="en-US"/>
        </w:rPr>
        <w:t xml:space="preserve"> (20 g). Subcategory weights amplify nutrients important for that subcategory.</w:t>
      </w:r>
    </w:p>
    <w:p w14:paraId="533E4534" w14:textId="77777777" w:rsidR="00340016" w:rsidRPr="00340016" w:rsidRDefault="00340016" w:rsidP="00340016">
      <w:pPr>
        <w:rPr>
          <w:lang w:val="en-US"/>
        </w:rPr>
      </w:pPr>
      <w:r w:rsidRPr="00340016">
        <w:rPr>
          <w:b/>
          <w:bCs/>
          <w:lang w:val="en-US"/>
        </w:rPr>
        <w:t>LIMSENS calculation</w:t>
      </w:r>
    </w:p>
    <w:p w14:paraId="16F1C2FF" w14:textId="77777777" w:rsidR="00340016" w:rsidRPr="00340016" w:rsidRDefault="00340016" w:rsidP="00340016">
      <w:pPr>
        <w:numPr>
          <w:ilvl w:val="0"/>
          <w:numId w:val="5"/>
        </w:numPr>
        <w:rPr>
          <w:lang w:val="en-US"/>
        </w:rPr>
      </w:pPr>
      <w:r w:rsidRPr="00340016">
        <w:rPr>
          <w:lang w:val="en-US"/>
        </w:rPr>
        <w:t xml:space="preserve">Mean percentage of maximal recommended values per </w:t>
      </w:r>
      <w:r w:rsidRPr="00340016">
        <w:rPr>
          <w:b/>
          <w:bCs/>
          <w:lang w:val="en-US"/>
        </w:rPr>
        <w:t>100 g</w:t>
      </w:r>
      <w:r w:rsidRPr="00340016">
        <w:rPr>
          <w:lang w:val="en-US"/>
        </w:rPr>
        <w:t xml:space="preserve"> for </w:t>
      </w:r>
      <w:r w:rsidRPr="00340016">
        <w:rPr>
          <w:b/>
          <w:bCs/>
          <w:lang w:val="en-US"/>
        </w:rPr>
        <w:t>sodium (2400 mg)</w:t>
      </w:r>
      <w:r w:rsidRPr="00340016">
        <w:rPr>
          <w:lang w:val="en-US"/>
        </w:rPr>
        <w:t xml:space="preserve">, </w:t>
      </w:r>
      <w:r w:rsidRPr="00340016">
        <w:rPr>
          <w:b/>
          <w:bCs/>
          <w:lang w:val="en-US"/>
        </w:rPr>
        <w:t>saturated fatty acids (20 g)</w:t>
      </w:r>
      <w:r w:rsidRPr="00340016">
        <w:rPr>
          <w:lang w:val="en-US"/>
        </w:rPr>
        <w:t xml:space="preserve"> and </w:t>
      </w:r>
      <w:r w:rsidRPr="00340016">
        <w:rPr>
          <w:b/>
          <w:bCs/>
          <w:lang w:val="en-US"/>
        </w:rPr>
        <w:t>free sugars (50 g)</w:t>
      </w:r>
      <w:r w:rsidRPr="00340016">
        <w:rPr>
          <w:lang w:val="en-US"/>
        </w:rPr>
        <w:t>.</w:t>
      </w:r>
    </w:p>
    <w:p w14:paraId="53D261B7" w14:textId="77777777" w:rsidR="00340016" w:rsidRPr="00340016" w:rsidRDefault="00340016" w:rsidP="00340016">
      <w:pPr>
        <w:numPr>
          <w:ilvl w:val="0"/>
          <w:numId w:val="5"/>
        </w:numPr>
        <w:rPr>
          <w:lang w:val="en-US"/>
        </w:rPr>
      </w:pPr>
      <w:r w:rsidRPr="00340016">
        <w:rPr>
          <w:lang w:val="en-US"/>
        </w:rPr>
        <w:t xml:space="preserve">Free sugars (WHO definition) replace added sugars to avoid </w:t>
      </w:r>
      <w:proofErr w:type="spellStart"/>
      <w:r w:rsidRPr="00340016">
        <w:rPr>
          <w:lang w:val="en-US"/>
        </w:rPr>
        <w:t>penalising</w:t>
      </w:r>
      <w:proofErr w:type="spellEnd"/>
      <w:r w:rsidRPr="00340016">
        <w:rPr>
          <w:lang w:val="en-US"/>
        </w:rPr>
        <w:t xml:space="preserve"> nutrient</w:t>
      </w:r>
      <w:r w:rsidRPr="00340016">
        <w:rPr>
          <w:lang w:val="en-US"/>
        </w:rPr>
        <w:noBreakHyphen/>
        <w:t>dense foods that naturally contain sugars (e.g., milk, fruit).</w:t>
      </w:r>
    </w:p>
    <w:p w14:paraId="48FB8258" w14:textId="77777777" w:rsidR="00340016" w:rsidRPr="00340016" w:rsidRDefault="00340016" w:rsidP="00340016">
      <w:pPr>
        <w:numPr>
          <w:ilvl w:val="0"/>
          <w:numId w:val="5"/>
        </w:numPr>
        <w:rPr>
          <w:lang w:val="en-US"/>
        </w:rPr>
      </w:pPr>
      <w:r w:rsidRPr="00340016">
        <w:rPr>
          <w:lang w:val="en-US"/>
        </w:rPr>
        <w:t xml:space="preserve">For beverages, LIMSENS is multiplied by </w:t>
      </w:r>
      <w:r w:rsidRPr="00340016">
        <w:rPr>
          <w:b/>
          <w:bCs/>
          <w:lang w:val="en-US"/>
        </w:rPr>
        <w:t>2.5</w:t>
      </w:r>
      <w:r w:rsidRPr="00340016">
        <w:rPr>
          <w:lang w:val="en-US"/>
        </w:rPr>
        <w:t xml:space="preserve"> as in </w:t>
      </w:r>
      <w:proofErr w:type="gramStart"/>
      <w:r w:rsidRPr="00340016">
        <w:rPr>
          <w:lang w:val="en-US"/>
        </w:rPr>
        <w:t>SAIN,LIM.</w:t>
      </w:r>
      <w:proofErr w:type="gramEnd"/>
    </w:p>
    <w:p w14:paraId="73C45424" w14:textId="77777777" w:rsidR="00340016" w:rsidRPr="00340016" w:rsidRDefault="00340016" w:rsidP="00340016">
      <w:pPr>
        <w:rPr>
          <w:lang w:val="en-US"/>
        </w:rPr>
      </w:pPr>
      <w:r w:rsidRPr="00340016">
        <w:rPr>
          <w:b/>
          <w:bCs/>
          <w:lang w:val="en-US"/>
        </w:rPr>
        <w:t>Thresholds and class allocation</w:t>
      </w:r>
    </w:p>
    <w:p w14:paraId="4DDCD1AD" w14:textId="77777777" w:rsidR="00340016" w:rsidRPr="00340016" w:rsidRDefault="00340016" w:rsidP="00340016">
      <w:pPr>
        <w:numPr>
          <w:ilvl w:val="0"/>
          <w:numId w:val="6"/>
        </w:numPr>
        <w:rPr>
          <w:lang w:val="en-US"/>
        </w:rPr>
      </w:pPr>
      <w:r w:rsidRPr="00340016">
        <w:rPr>
          <w:b/>
          <w:bCs/>
          <w:lang w:val="en-US"/>
        </w:rPr>
        <w:t>Primary thresholds</w:t>
      </w:r>
      <w:r w:rsidRPr="00340016">
        <w:rPr>
          <w:lang w:val="en-US"/>
        </w:rPr>
        <w:t>: SAINSENS = 5 (100% adequacy per 2000 kcal reference) and LIMSENS = 7.5 (0% excess for average daily food weight).</w:t>
      </w:r>
    </w:p>
    <w:p w14:paraId="2B64C991" w14:textId="77777777" w:rsidR="00340016" w:rsidRPr="00340016" w:rsidRDefault="00340016" w:rsidP="00340016">
      <w:pPr>
        <w:numPr>
          <w:ilvl w:val="0"/>
          <w:numId w:val="6"/>
        </w:numPr>
        <w:rPr>
          <w:lang w:val="en-US"/>
        </w:rPr>
      </w:pPr>
      <w:r w:rsidRPr="00340016">
        <w:rPr>
          <w:b/>
          <w:bCs/>
          <w:lang w:val="en-US"/>
        </w:rPr>
        <w:t>Secondary thresholds</w:t>
      </w:r>
      <w:r w:rsidRPr="00340016">
        <w:rPr>
          <w:lang w:val="en-US"/>
        </w:rPr>
        <w:t>: SAINSENS secondary cut</w:t>
      </w:r>
      <w:r w:rsidRPr="00340016">
        <w:rPr>
          <w:lang w:val="en-US"/>
        </w:rPr>
        <w:noBreakHyphen/>
        <w:t>points at 2, 3.5, 7.5, 10, 15; LIMSENS secondary cut</w:t>
      </w:r>
      <w:r w:rsidRPr="00340016">
        <w:rPr>
          <w:lang w:val="en-US"/>
        </w:rPr>
        <w:noBreakHyphen/>
        <w:t>points at 10, 15, 35, 50. These were empirically tuned to order classes and reduce abrupt class jumps.</w:t>
      </w:r>
    </w:p>
    <w:p w14:paraId="549592D8" w14:textId="77777777" w:rsidR="00340016" w:rsidRPr="00340016" w:rsidRDefault="00340016" w:rsidP="00340016">
      <w:pPr>
        <w:numPr>
          <w:ilvl w:val="0"/>
          <w:numId w:val="6"/>
        </w:numPr>
        <w:rPr>
          <w:lang w:val="en-US"/>
        </w:rPr>
      </w:pPr>
      <w:r w:rsidRPr="00340016">
        <w:rPr>
          <w:b/>
          <w:bCs/>
          <w:lang w:val="en-US"/>
        </w:rPr>
        <w:t>Exceptions</w:t>
      </w:r>
      <w:r w:rsidRPr="00340016">
        <w:rPr>
          <w:lang w:val="en-US"/>
        </w:rPr>
        <w:t xml:space="preserve">: </w:t>
      </w:r>
    </w:p>
    <w:p w14:paraId="092F5A23" w14:textId="77777777" w:rsidR="00340016" w:rsidRPr="00340016" w:rsidRDefault="00340016" w:rsidP="00340016">
      <w:pPr>
        <w:numPr>
          <w:ilvl w:val="1"/>
          <w:numId w:val="6"/>
        </w:numPr>
        <w:rPr>
          <w:lang w:val="en-US"/>
        </w:rPr>
      </w:pPr>
      <w:r w:rsidRPr="00340016">
        <w:rPr>
          <w:lang w:val="en-US"/>
        </w:rPr>
        <w:t>Non</w:t>
      </w:r>
      <w:r w:rsidRPr="00340016">
        <w:rPr>
          <w:lang w:val="en-US"/>
        </w:rPr>
        <w:noBreakHyphen/>
        <w:t>water beverages initially allocated to Class 1 are downgraded to Class 2.</w:t>
      </w:r>
    </w:p>
    <w:p w14:paraId="78A1B93E" w14:textId="77777777" w:rsidR="00340016" w:rsidRPr="00340016" w:rsidRDefault="00340016" w:rsidP="00340016">
      <w:pPr>
        <w:numPr>
          <w:ilvl w:val="1"/>
          <w:numId w:val="6"/>
        </w:numPr>
        <w:rPr>
          <w:lang w:val="en-US"/>
        </w:rPr>
      </w:pPr>
      <w:r w:rsidRPr="00340016">
        <w:rPr>
          <w:lang w:val="en-US"/>
        </w:rPr>
        <w:t>For Other Solid Foods, foods &gt;400 kcal/100 g allocated to Class 1 are downgraded; foods with ED &gt;500 kcal/100 g and sodium &gt;200 mg/100 g allocated to Class 3 are downgraded to Class 4. These exceptions prevent energy</w:t>
      </w:r>
      <w:r w:rsidRPr="00340016">
        <w:rPr>
          <w:lang w:val="en-US"/>
        </w:rPr>
        <w:noBreakHyphen/>
        <w:t>dense products from being misclassified as healthy.</w:t>
      </w:r>
    </w:p>
    <w:p w14:paraId="6F4C7921" w14:textId="77777777" w:rsidR="00340016" w:rsidRPr="00340016" w:rsidRDefault="00340016" w:rsidP="00340016">
      <w:pPr>
        <w:rPr>
          <w:lang w:val="en-US"/>
        </w:rPr>
      </w:pPr>
      <w:r w:rsidRPr="00340016">
        <w:rPr>
          <w:lang w:val="en-US"/>
        </w:rPr>
        <w:pict w14:anchorId="78C47E5C">
          <v:rect id="_x0000_i1064" style="width:0;height:1.5pt" o:hralign="center" o:hrstd="t" o:hr="t" fillcolor="#a0a0a0" stroked="f"/>
        </w:pict>
      </w:r>
    </w:p>
    <w:p w14:paraId="63CFDFB2" w14:textId="77777777" w:rsidR="00340016" w:rsidRPr="00340016" w:rsidRDefault="00340016" w:rsidP="00340016">
      <w:pPr>
        <w:rPr>
          <w:b/>
          <w:bCs/>
          <w:lang w:val="en-US"/>
        </w:rPr>
      </w:pPr>
      <w:r w:rsidRPr="00340016">
        <w:rPr>
          <w:b/>
          <w:bCs/>
          <w:lang w:val="en-US"/>
        </w:rPr>
        <w:t>Results</w:t>
      </w:r>
    </w:p>
    <w:p w14:paraId="38C5A17B" w14:textId="77777777" w:rsidR="00340016" w:rsidRPr="00340016" w:rsidRDefault="00340016" w:rsidP="00340016">
      <w:pPr>
        <w:rPr>
          <w:lang w:val="en-US"/>
        </w:rPr>
      </w:pPr>
      <w:r w:rsidRPr="00340016">
        <w:rPr>
          <w:b/>
          <w:bCs/>
          <w:lang w:val="en-US"/>
        </w:rPr>
        <w:t>Overall classification</w:t>
      </w:r>
    </w:p>
    <w:p w14:paraId="10D0C227" w14:textId="77777777" w:rsidR="00340016" w:rsidRPr="00340016" w:rsidRDefault="00340016" w:rsidP="00340016">
      <w:pPr>
        <w:numPr>
          <w:ilvl w:val="0"/>
          <w:numId w:val="7"/>
        </w:numPr>
        <w:rPr>
          <w:lang w:val="en-US"/>
        </w:rPr>
      </w:pPr>
      <w:r w:rsidRPr="00340016">
        <w:rPr>
          <w:lang w:val="en-US"/>
        </w:rPr>
        <w:t xml:space="preserve">Of 1,065 CIQUAL items: </w:t>
      </w:r>
      <w:r w:rsidRPr="00340016">
        <w:rPr>
          <w:b/>
          <w:bCs/>
          <w:lang w:val="en-US"/>
        </w:rPr>
        <w:t>Class 1</w:t>
      </w:r>
      <w:r w:rsidRPr="00340016">
        <w:rPr>
          <w:lang w:val="en-US"/>
        </w:rPr>
        <w:t xml:space="preserve"> = 30.4% (n=323), </w:t>
      </w:r>
      <w:r w:rsidRPr="00340016">
        <w:rPr>
          <w:b/>
          <w:bCs/>
          <w:lang w:val="en-US"/>
        </w:rPr>
        <w:t>Class 2</w:t>
      </w:r>
      <w:r w:rsidRPr="00340016">
        <w:rPr>
          <w:lang w:val="en-US"/>
        </w:rPr>
        <w:t xml:space="preserve"> = 18.3% (n=196), </w:t>
      </w:r>
      <w:r w:rsidRPr="00340016">
        <w:rPr>
          <w:b/>
          <w:bCs/>
          <w:lang w:val="en-US"/>
        </w:rPr>
        <w:t>Class 3</w:t>
      </w:r>
      <w:r w:rsidRPr="00340016">
        <w:rPr>
          <w:lang w:val="en-US"/>
        </w:rPr>
        <w:t xml:space="preserve"> = 26.0% (n=277), </w:t>
      </w:r>
      <w:r w:rsidRPr="00340016">
        <w:rPr>
          <w:b/>
          <w:bCs/>
          <w:lang w:val="en-US"/>
        </w:rPr>
        <w:t>Class 4</w:t>
      </w:r>
      <w:r w:rsidRPr="00340016">
        <w:rPr>
          <w:lang w:val="en-US"/>
        </w:rPr>
        <w:t xml:space="preserve"> = 25.3% (n=269).</w:t>
      </w:r>
    </w:p>
    <w:p w14:paraId="33B51D2C" w14:textId="77777777" w:rsidR="00340016" w:rsidRDefault="00340016" w:rsidP="00340016">
      <w:pPr>
        <w:numPr>
          <w:ilvl w:val="0"/>
          <w:numId w:val="7"/>
        </w:numPr>
        <w:rPr>
          <w:lang w:val="en-US"/>
        </w:rPr>
      </w:pPr>
      <w:r w:rsidRPr="00340016">
        <w:rPr>
          <w:lang w:val="en-US"/>
        </w:rPr>
        <w:t>Most food groups were spread across multiple classes: 10 groups covered all four classes, 9 groups covered three classes, 4 groups covered two classes, and 3 groups were confined to a single class (e.g., water, tea/coffee, diet</w:t>
      </w:r>
      <w:r w:rsidRPr="00340016">
        <w:rPr>
          <w:lang w:val="en-US"/>
        </w:rPr>
        <w:noBreakHyphen/>
        <w:t>sweetened beverages).</w:t>
      </w:r>
    </w:p>
    <w:p w14:paraId="5936DEFA" w14:textId="77777777" w:rsidR="00340016" w:rsidRDefault="00340016" w:rsidP="00340016">
      <w:pPr>
        <w:rPr>
          <w:lang w:val="en-US"/>
        </w:rPr>
      </w:pPr>
    </w:p>
    <w:p w14:paraId="2416A544" w14:textId="77777777" w:rsidR="00340016" w:rsidRPr="00340016" w:rsidRDefault="00340016" w:rsidP="00340016">
      <w:pPr>
        <w:rPr>
          <w:lang w:val="en-US"/>
        </w:rPr>
      </w:pPr>
    </w:p>
    <w:p w14:paraId="462CF401" w14:textId="77777777" w:rsidR="00340016" w:rsidRPr="00340016" w:rsidRDefault="00340016" w:rsidP="00340016">
      <w:pPr>
        <w:rPr>
          <w:lang w:val="en-US"/>
        </w:rPr>
      </w:pPr>
      <w:r w:rsidRPr="00340016">
        <w:rPr>
          <w:b/>
          <w:bCs/>
          <w:lang w:val="en-US"/>
        </w:rPr>
        <w:lastRenderedPageBreak/>
        <w:t>Group</w:t>
      </w:r>
      <w:r w:rsidRPr="00340016">
        <w:rPr>
          <w:b/>
          <w:bCs/>
          <w:lang w:val="en-US"/>
        </w:rPr>
        <w:noBreakHyphen/>
        <w:t>level patterns</w:t>
      </w:r>
    </w:p>
    <w:p w14:paraId="4599AE18" w14:textId="77777777" w:rsidR="00340016" w:rsidRPr="00340016" w:rsidRDefault="00340016" w:rsidP="00340016">
      <w:pPr>
        <w:numPr>
          <w:ilvl w:val="0"/>
          <w:numId w:val="8"/>
        </w:numPr>
        <w:rPr>
          <w:lang w:val="en-US"/>
        </w:rPr>
      </w:pPr>
      <w:r w:rsidRPr="00340016">
        <w:rPr>
          <w:b/>
          <w:bCs/>
          <w:lang w:val="en-US"/>
        </w:rPr>
        <w:t>High</w:t>
      </w:r>
      <w:r w:rsidRPr="00340016">
        <w:rPr>
          <w:b/>
          <w:bCs/>
          <w:lang w:val="en-US"/>
        </w:rPr>
        <w:noBreakHyphen/>
        <w:t>ranking groups</w:t>
      </w:r>
      <w:r w:rsidRPr="00340016">
        <w:rPr>
          <w:lang w:val="en-US"/>
        </w:rPr>
        <w:t xml:space="preserve"> (majority in Class 1 or 2): fish, unrefined starches, vegetables (raw/cooked), fruits (fresh/processed), tofu/soya products, fruit juices, milk, yoghurt, tea/coffee, diet</w:t>
      </w:r>
      <w:r w:rsidRPr="00340016">
        <w:rPr>
          <w:lang w:val="en-US"/>
        </w:rPr>
        <w:noBreakHyphen/>
        <w:t>sweetened beverages.</w:t>
      </w:r>
    </w:p>
    <w:p w14:paraId="33B89F7E" w14:textId="77777777" w:rsidR="00340016" w:rsidRPr="00340016" w:rsidRDefault="00340016" w:rsidP="00340016">
      <w:pPr>
        <w:numPr>
          <w:ilvl w:val="0"/>
          <w:numId w:val="8"/>
        </w:numPr>
        <w:rPr>
          <w:lang w:val="en-US"/>
        </w:rPr>
      </w:pPr>
      <w:r w:rsidRPr="00340016">
        <w:rPr>
          <w:b/>
          <w:bCs/>
          <w:lang w:val="en-US"/>
        </w:rPr>
        <w:t>Mixed groups</w:t>
      </w:r>
      <w:r w:rsidRPr="00340016">
        <w:rPr>
          <w:lang w:val="en-US"/>
        </w:rPr>
        <w:t>: meats were distributed across all classes (approx. 29% Class 1; 32% Class 4), reflecting heterogeneity in processing and composition.</w:t>
      </w:r>
    </w:p>
    <w:p w14:paraId="4CCB7745" w14:textId="77777777" w:rsidR="00340016" w:rsidRPr="00340016" w:rsidRDefault="00340016" w:rsidP="00340016">
      <w:pPr>
        <w:numPr>
          <w:ilvl w:val="0"/>
          <w:numId w:val="8"/>
        </w:numPr>
        <w:rPr>
          <w:lang w:val="en-US"/>
        </w:rPr>
      </w:pPr>
      <w:r w:rsidRPr="00340016">
        <w:rPr>
          <w:b/>
          <w:bCs/>
          <w:lang w:val="en-US"/>
        </w:rPr>
        <w:t>Low</w:t>
      </w:r>
      <w:r w:rsidRPr="00340016">
        <w:rPr>
          <w:b/>
          <w:bCs/>
          <w:lang w:val="en-US"/>
        </w:rPr>
        <w:noBreakHyphen/>
        <w:t>ranking groups</w:t>
      </w:r>
      <w:r w:rsidRPr="00340016">
        <w:rPr>
          <w:lang w:val="en-US"/>
        </w:rPr>
        <w:t>: discretionary and energy</w:t>
      </w:r>
      <w:r w:rsidRPr="00340016">
        <w:rPr>
          <w:lang w:val="en-US"/>
        </w:rPr>
        <w:noBreakHyphen/>
        <w:t>dense foods (cakes, pastries, biscuits, sweets) concentrated in Class 4; many sweetened beverages also fell into lower classes.</w:t>
      </w:r>
    </w:p>
    <w:p w14:paraId="34AB6B62" w14:textId="77777777" w:rsidR="00340016" w:rsidRPr="00340016" w:rsidRDefault="00340016" w:rsidP="00340016">
      <w:pPr>
        <w:rPr>
          <w:lang w:val="en-US"/>
        </w:rPr>
      </w:pPr>
      <w:r w:rsidRPr="00340016">
        <w:rPr>
          <w:b/>
          <w:bCs/>
          <w:lang w:val="en-US"/>
        </w:rPr>
        <w:t>Energy density and nutrient density validation</w:t>
      </w:r>
    </w:p>
    <w:p w14:paraId="2F4355DC" w14:textId="77777777" w:rsidR="00340016" w:rsidRPr="00340016" w:rsidRDefault="00340016" w:rsidP="00340016">
      <w:pPr>
        <w:numPr>
          <w:ilvl w:val="0"/>
          <w:numId w:val="9"/>
        </w:numPr>
        <w:rPr>
          <w:lang w:val="en-US"/>
        </w:rPr>
      </w:pPr>
      <w:r w:rsidRPr="00340016">
        <w:rPr>
          <w:lang w:val="en-US"/>
        </w:rPr>
        <w:t>Median energy density rose across classes: Class 1 median ≈ 71 kcal/100 g; Class 2 ≈ 123 kcal/100 g; Class 3 ≈ 250 kcal/100 g; Class 4 ≈ 355 kcal/100 g.</w:t>
      </w:r>
    </w:p>
    <w:p w14:paraId="4541A8CC" w14:textId="77777777" w:rsidR="00340016" w:rsidRPr="00340016" w:rsidRDefault="00340016" w:rsidP="00340016">
      <w:pPr>
        <w:numPr>
          <w:ilvl w:val="0"/>
          <w:numId w:val="9"/>
        </w:numPr>
        <w:rPr>
          <w:lang w:val="en-US"/>
        </w:rPr>
      </w:pPr>
      <w:r w:rsidRPr="00340016">
        <w:rPr>
          <w:lang w:val="en-US"/>
        </w:rPr>
        <w:t>Nutrient density score (NDS) decreased across classes: Class 1 median ≈ 12.4% adequacy/100 kcal; Class 2 ≈ 5.9%; Class 3 ≈ 4.4%; Class 4 ≈ 2.7%.</w:t>
      </w:r>
    </w:p>
    <w:p w14:paraId="02F565B7" w14:textId="77777777" w:rsidR="00340016" w:rsidRPr="00340016" w:rsidRDefault="00340016" w:rsidP="00340016">
      <w:pPr>
        <w:numPr>
          <w:ilvl w:val="0"/>
          <w:numId w:val="9"/>
        </w:numPr>
        <w:rPr>
          <w:lang w:val="en-US"/>
        </w:rPr>
      </w:pPr>
      <w:r w:rsidRPr="00340016">
        <w:rPr>
          <w:lang w:val="en-US"/>
        </w:rPr>
        <w:t>Statistical comparisons showed significant trends: higher SENS class associated with higher ED and lower NDS, consistent with expectations that healthier foods are nutrient</w:t>
      </w:r>
      <w:r w:rsidRPr="00340016">
        <w:rPr>
          <w:lang w:val="en-US"/>
        </w:rPr>
        <w:noBreakHyphen/>
        <w:t>dense and lower in energy density.</w:t>
      </w:r>
    </w:p>
    <w:p w14:paraId="1B4BDB86" w14:textId="77777777" w:rsidR="00340016" w:rsidRPr="00340016" w:rsidRDefault="00340016" w:rsidP="00340016">
      <w:pPr>
        <w:rPr>
          <w:lang w:val="en-US"/>
        </w:rPr>
      </w:pPr>
      <w:r w:rsidRPr="00340016">
        <w:rPr>
          <w:lang w:val="en-US"/>
        </w:rPr>
        <w:pict w14:anchorId="2530842A">
          <v:rect id="_x0000_i1065" style="width:0;height:1.5pt" o:hralign="center" o:hrstd="t" o:hr="t" fillcolor="#a0a0a0" stroked="f"/>
        </w:pict>
      </w:r>
    </w:p>
    <w:p w14:paraId="48316671" w14:textId="77777777" w:rsidR="00340016" w:rsidRPr="00340016" w:rsidRDefault="00340016" w:rsidP="00340016">
      <w:pPr>
        <w:rPr>
          <w:b/>
          <w:bCs/>
          <w:lang w:val="en-US"/>
        </w:rPr>
      </w:pPr>
      <w:r w:rsidRPr="00340016">
        <w:rPr>
          <w:b/>
          <w:bCs/>
          <w:lang w:val="en-US"/>
        </w:rPr>
        <w:t>Discussion and conclusion</w:t>
      </w:r>
    </w:p>
    <w:p w14:paraId="2A33E7D3" w14:textId="77777777" w:rsidR="00340016" w:rsidRPr="00340016" w:rsidRDefault="00340016" w:rsidP="00340016">
      <w:pPr>
        <w:rPr>
          <w:lang w:val="en-US"/>
        </w:rPr>
      </w:pPr>
      <w:r w:rsidRPr="00340016">
        <w:rPr>
          <w:b/>
          <w:bCs/>
          <w:lang w:val="en-US"/>
        </w:rPr>
        <w:t>Strengths</w:t>
      </w:r>
    </w:p>
    <w:p w14:paraId="24515D46" w14:textId="77777777" w:rsidR="00340016" w:rsidRPr="00340016" w:rsidRDefault="00340016" w:rsidP="00340016">
      <w:pPr>
        <w:numPr>
          <w:ilvl w:val="0"/>
          <w:numId w:val="10"/>
        </w:numPr>
        <w:rPr>
          <w:lang w:val="en-US"/>
        </w:rPr>
      </w:pPr>
      <w:r w:rsidRPr="00340016">
        <w:rPr>
          <w:b/>
          <w:bCs/>
          <w:lang w:val="en-US"/>
        </w:rPr>
        <w:t>Non</w:t>
      </w:r>
      <w:r w:rsidRPr="00340016">
        <w:rPr>
          <w:b/>
          <w:bCs/>
          <w:lang w:val="en-US"/>
        </w:rPr>
        <w:noBreakHyphen/>
        <w:t>compensatory dual</w:t>
      </w:r>
      <w:r w:rsidRPr="00340016">
        <w:rPr>
          <w:b/>
          <w:bCs/>
          <w:lang w:val="en-US"/>
        </w:rPr>
        <w:noBreakHyphen/>
        <w:t>score approach</w:t>
      </w:r>
      <w:r w:rsidRPr="00340016">
        <w:rPr>
          <w:lang w:val="en-US"/>
        </w:rPr>
        <w:t>: SENS requires both high nutrient density and low levels of nutrients to limit; this prevents foods with low disqualifying nutrients but poor nutrient density from being classified as healthy.</w:t>
      </w:r>
    </w:p>
    <w:p w14:paraId="6074152D" w14:textId="77777777" w:rsidR="00340016" w:rsidRPr="00340016" w:rsidRDefault="00340016" w:rsidP="00340016">
      <w:pPr>
        <w:numPr>
          <w:ilvl w:val="0"/>
          <w:numId w:val="10"/>
        </w:numPr>
        <w:rPr>
          <w:lang w:val="en-US"/>
        </w:rPr>
      </w:pPr>
      <w:r w:rsidRPr="00340016">
        <w:rPr>
          <w:b/>
          <w:bCs/>
          <w:lang w:val="en-US"/>
        </w:rPr>
        <w:t>Category specificity</w:t>
      </w:r>
      <w:r w:rsidRPr="00340016">
        <w:rPr>
          <w:lang w:val="en-US"/>
        </w:rPr>
        <w:t>: Introducing category</w:t>
      </w:r>
      <w:r w:rsidRPr="00340016">
        <w:rPr>
          <w:lang w:val="en-US"/>
        </w:rPr>
        <w:noBreakHyphen/>
        <w:t>specific nutrients and weighting improves discrimination within heterogeneous food groups (e.g., cheeses, cereals, added fats).</w:t>
      </w:r>
    </w:p>
    <w:p w14:paraId="605D5BE0" w14:textId="77777777" w:rsidR="00340016" w:rsidRPr="00340016" w:rsidRDefault="00340016" w:rsidP="00340016">
      <w:pPr>
        <w:numPr>
          <w:ilvl w:val="0"/>
          <w:numId w:val="10"/>
        </w:numPr>
        <w:rPr>
          <w:lang w:val="en-US"/>
        </w:rPr>
      </w:pPr>
      <w:r w:rsidRPr="00340016">
        <w:rPr>
          <w:b/>
          <w:bCs/>
          <w:lang w:val="en-US"/>
        </w:rPr>
        <w:t>Alignment with EU rules</w:t>
      </w:r>
      <w:r w:rsidRPr="00340016">
        <w:rPr>
          <w:lang w:val="en-US"/>
        </w:rPr>
        <w:t>: Use of EU</w:t>
      </w:r>
      <w:r w:rsidRPr="00340016">
        <w:rPr>
          <w:lang w:val="en-US"/>
        </w:rPr>
        <w:noBreakHyphen/>
        <w:t>RIs and WHO/EFSA/FAO references where needed ensures regulatory compatibility.</w:t>
      </w:r>
    </w:p>
    <w:p w14:paraId="789A9C3A" w14:textId="77777777" w:rsidR="00340016" w:rsidRPr="00340016" w:rsidRDefault="00340016" w:rsidP="00340016">
      <w:pPr>
        <w:numPr>
          <w:ilvl w:val="0"/>
          <w:numId w:val="10"/>
        </w:numPr>
        <w:rPr>
          <w:lang w:val="en-US"/>
        </w:rPr>
      </w:pPr>
      <w:r w:rsidRPr="00340016">
        <w:rPr>
          <w:b/>
          <w:bCs/>
          <w:lang w:val="en-US"/>
        </w:rPr>
        <w:t>Operational refinements</w:t>
      </w:r>
      <w:r w:rsidRPr="00340016">
        <w:rPr>
          <w:lang w:val="en-US"/>
        </w:rPr>
        <w:t>: Secondary thresholds and pragmatic exceptions reduce edge effects and prevent anomalous classifications of energy</w:t>
      </w:r>
      <w:r w:rsidRPr="00340016">
        <w:rPr>
          <w:lang w:val="en-US"/>
        </w:rPr>
        <w:noBreakHyphen/>
        <w:t>dense products.</w:t>
      </w:r>
    </w:p>
    <w:p w14:paraId="5E6866F0" w14:textId="77777777" w:rsidR="00340016" w:rsidRPr="00340016" w:rsidRDefault="00340016" w:rsidP="00340016">
      <w:pPr>
        <w:numPr>
          <w:ilvl w:val="0"/>
          <w:numId w:val="10"/>
        </w:numPr>
        <w:rPr>
          <w:lang w:val="en-US"/>
        </w:rPr>
      </w:pPr>
      <w:r w:rsidRPr="00340016">
        <w:rPr>
          <w:b/>
          <w:bCs/>
          <w:lang w:val="en-US"/>
        </w:rPr>
        <w:t>Empirical validation</w:t>
      </w:r>
      <w:r w:rsidRPr="00340016">
        <w:rPr>
          <w:lang w:val="en-US"/>
        </w:rPr>
        <w:t>: Application to a large national composition database demonstrates that SENS classifications align with dietary guidance and correlate appropriately with ED and NDS.</w:t>
      </w:r>
    </w:p>
    <w:p w14:paraId="6641E76B" w14:textId="77777777" w:rsidR="00340016" w:rsidRPr="00340016" w:rsidRDefault="00340016" w:rsidP="00340016">
      <w:pPr>
        <w:rPr>
          <w:lang w:val="en-US"/>
        </w:rPr>
      </w:pPr>
      <w:r w:rsidRPr="00340016">
        <w:rPr>
          <w:b/>
          <w:bCs/>
          <w:lang w:val="en-US"/>
        </w:rPr>
        <w:lastRenderedPageBreak/>
        <w:t>Limitations and challenges</w:t>
      </w:r>
    </w:p>
    <w:p w14:paraId="0957D2BC" w14:textId="77777777" w:rsidR="00340016" w:rsidRPr="00340016" w:rsidRDefault="00340016" w:rsidP="00340016">
      <w:pPr>
        <w:numPr>
          <w:ilvl w:val="0"/>
          <w:numId w:val="11"/>
        </w:numPr>
        <w:rPr>
          <w:lang w:val="en-US"/>
        </w:rPr>
      </w:pPr>
      <w:r w:rsidRPr="00340016">
        <w:rPr>
          <w:b/>
          <w:bCs/>
          <w:lang w:val="en-US"/>
        </w:rPr>
        <w:t>Data requirements</w:t>
      </w:r>
      <w:r w:rsidRPr="00340016">
        <w:rPr>
          <w:lang w:val="en-US"/>
        </w:rPr>
        <w:t xml:space="preserve">: SENS needs information not always present on labels or in composition tables (free sugars, </w:t>
      </w:r>
      <w:proofErr w:type="spellStart"/>
      <w:r w:rsidRPr="00340016">
        <w:rPr>
          <w:lang w:val="en-US"/>
        </w:rPr>
        <w:t>fibre</w:t>
      </w:r>
      <w:proofErr w:type="spellEnd"/>
      <w:r w:rsidRPr="00340016">
        <w:rPr>
          <w:lang w:val="en-US"/>
        </w:rPr>
        <w:t xml:space="preserve"> by a consistent assay, MUFA/ALA, proportion of fruits/vegetables). This limits immediate, universal applicability without supplementary data or industry cooperation.</w:t>
      </w:r>
    </w:p>
    <w:p w14:paraId="093C2821" w14:textId="77777777" w:rsidR="00340016" w:rsidRPr="00340016" w:rsidRDefault="00340016" w:rsidP="00340016">
      <w:pPr>
        <w:numPr>
          <w:ilvl w:val="0"/>
          <w:numId w:val="11"/>
        </w:numPr>
        <w:rPr>
          <w:lang w:val="en-US"/>
        </w:rPr>
      </w:pPr>
      <w:r w:rsidRPr="00340016">
        <w:rPr>
          <w:b/>
          <w:bCs/>
          <w:lang w:val="en-US"/>
        </w:rPr>
        <w:t>Edge effects remain</w:t>
      </w:r>
      <w:r w:rsidRPr="00340016">
        <w:rPr>
          <w:lang w:val="en-US"/>
        </w:rPr>
        <w:t>: Although reduced, some foods near thresholds may still flip classes with small compositional changes.</w:t>
      </w:r>
    </w:p>
    <w:p w14:paraId="63DC2572" w14:textId="77777777" w:rsidR="00340016" w:rsidRPr="00340016" w:rsidRDefault="00340016" w:rsidP="00340016">
      <w:pPr>
        <w:numPr>
          <w:ilvl w:val="0"/>
          <w:numId w:val="11"/>
        </w:numPr>
        <w:rPr>
          <w:lang w:val="en-US"/>
        </w:rPr>
      </w:pPr>
      <w:r w:rsidRPr="00340016">
        <w:rPr>
          <w:b/>
          <w:bCs/>
          <w:lang w:val="en-US"/>
        </w:rPr>
        <w:t>Choice of free sugars</w:t>
      </w:r>
      <w:r w:rsidRPr="00340016">
        <w:rPr>
          <w:lang w:val="en-US"/>
        </w:rPr>
        <w:t>: Free sugars are not mandatory on EU labels; debate exists about using free versus added sugars. The authors note SENS can be updated if consensus shifts.</w:t>
      </w:r>
    </w:p>
    <w:p w14:paraId="0F956DBE" w14:textId="77777777" w:rsidR="00340016" w:rsidRPr="00340016" w:rsidRDefault="00340016" w:rsidP="00340016">
      <w:pPr>
        <w:numPr>
          <w:ilvl w:val="0"/>
          <w:numId w:val="11"/>
        </w:numPr>
        <w:rPr>
          <w:lang w:val="en-US"/>
        </w:rPr>
      </w:pPr>
      <w:r w:rsidRPr="00340016">
        <w:rPr>
          <w:b/>
          <w:bCs/>
          <w:lang w:val="en-US"/>
        </w:rPr>
        <w:t>Generic database constraints</w:t>
      </w:r>
      <w:r w:rsidRPr="00340016">
        <w:rPr>
          <w:lang w:val="en-US"/>
        </w:rPr>
        <w:t>: CIQUAL is a generic composition database; classification of real commercial products may show greater within</w:t>
      </w:r>
      <w:r w:rsidRPr="00340016">
        <w:rPr>
          <w:lang w:val="en-US"/>
        </w:rPr>
        <w:noBreakHyphen/>
        <w:t>category dispersion (e.g., cheeses).</w:t>
      </w:r>
    </w:p>
    <w:p w14:paraId="729FD801" w14:textId="77777777" w:rsidR="00340016" w:rsidRPr="00340016" w:rsidRDefault="00340016" w:rsidP="00340016">
      <w:pPr>
        <w:numPr>
          <w:ilvl w:val="0"/>
          <w:numId w:val="11"/>
        </w:numPr>
        <w:rPr>
          <w:lang w:val="en-US"/>
        </w:rPr>
      </w:pPr>
      <w:r w:rsidRPr="00340016">
        <w:rPr>
          <w:b/>
          <w:bCs/>
          <w:lang w:val="en-US"/>
        </w:rPr>
        <w:t>Implementation complexity</w:t>
      </w:r>
      <w:r w:rsidRPr="00340016">
        <w:rPr>
          <w:lang w:val="en-US"/>
        </w:rPr>
        <w:t>: Back</w:t>
      </w:r>
      <w:r w:rsidRPr="00340016">
        <w:rPr>
          <w:lang w:val="en-US"/>
        </w:rPr>
        <w:noBreakHyphen/>
        <w:t>office calculations are complex and require manufacturer or regulator capacity; however, consumer</w:t>
      </w:r>
      <w:r w:rsidRPr="00340016">
        <w:rPr>
          <w:lang w:val="en-US"/>
        </w:rPr>
        <w:noBreakHyphen/>
        <w:t>facing labels can remain simple.</w:t>
      </w:r>
    </w:p>
    <w:p w14:paraId="792E913A" w14:textId="77777777" w:rsidR="00340016" w:rsidRPr="00340016" w:rsidRDefault="00340016" w:rsidP="00340016">
      <w:pPr>
        <w:rPr>
          <w:lang w:val="en-US"/>
        </w:rPr>
      </w:pPr>
      <w:r w:rsidRPr="00340016">
        <w:rPr>
          <w:b/>
          <w:bCs/>
          <w:lang w:val="en-US"/>
        </w:rPr>
        <w:t>Practical implications</w:t>
      </w:r>
    </w:p>
    <w:p w14:paraId="0A864972" w14:textId="77777777" w:rsidR="00340016" w:rsidRPr="00340016" w:rsidRDefault="00340016" w:rsidP="00340016">
      <w:pPr>
        <w:rPr>
          <w:lang w:val="en-US"/>
        </w:rPr>
      </w:pPr>
      <w:r w:rsidRPr="00340016">
        <w:rPr>
          <w:lang w:val="en-US"/>
        </w:rPr>
        <w:t>SENS offers a transparent, nutrition</w:t>
      </w:r>
      <w:r w:rsidRPr="00340016">
        <w:rPr>
          <w:lang w:val="en-US"/>
        </w:rPr>
        <w:noBreakHyphen/>
        <w:t>sensitive framework suitable for front</w:t>
      </w:r>
      <w:r w:rsidRPr="00340016">
        <w:rPr>
          <w:lang w:val="en-US"/>
        </w:rPr>
        <w:noBreakHyphen/>
        <w:t>of</w:t>
      </w:r>
      <w:r w:rsidRPr="00340016">
        <w:rPr>
          <w:lang w:val="en-US"/>
        </w:rPr>
        <w:noBreakHyphen/>
        <w:t xml:space="preserve">pack simplified labelling in Europe. Its design balances scientific </w:t>
      </w:r>
      <w:proofErr w:type="spellStart"/>
      <w:r w:rsidRPr="00340016">
        <w:rPr>
          <w:lang w:val="en-US"/>
        </w:rPr>
        <w:t>rigour</w:t>
      </w:r>
      <w:proofErr w:type="spellEnd"/>
      <w:r w:rsidRPr="00340016">
        <w:rPr>
          <w:lang w:val="en-US"/>
        </w:rPr>
        <w:t xml:space="preserve"> and operational feasibility: it is adaptable (category weights, thresholds), grounded in public</w:t>
      </w:r>
      <w:r w:rsidRPr="00340016">
        <w:rPr>
          <w:lang w:val="en-US"/>
        </w:rPr>
        <w:noBreakHyphen/>
        <w:t>health priorities, and capable of guiding product reformulation by highlighting nutrients to increase or reduce. Successful implementation will require addressing data gaps, stakeholder training, and consumer testing of graphical representations.</w:t>
      </w:r>
    </w:p>
    <w:p w14:paraId="5CBC5921" w14:textId="77777777" w:rsidR="00340016" w:rsidRPr="00340016" w:rsidRDefault="00340016" w:rsidP="00340016">
      <w:pPr>
        <w:rPr>
          <w:lang w:val="en-US"/>
        </w:rPr>
      </w:pPr>
      <w:r w:rsidRPr="00340016">
        <w:rPr>
          <w:b/>
          <w:bCs/>
          <w:lang w:val="en-US"/>
        </w:rPr>
        <w:t>Conclusion</w:t>
      </w:r>
    </w:p>
    <w:p w14:paraId="40B4221A" w14:textId="77777777" w:rsidR="00340016" w:rsidRPr="00340016" w:rsidRDefault="00340016" w:rsidP="00340016">
      <w:pPr>
        <w:rPr>
          <w:lang w:val="en-US"/>
        </w:rPr>
      </w:pPr>
      <w:r w:rsidRPr="00340016">
        <w:rPr>
          <w:lang w:val="en-US"/>
        </w:rPr>
        <w:t xml:space="preserve">The SENS algorithm retains the conceptual strengths of </w:t>
      </w:r>
      <w:proofErr w:type="gramStart"/>
      <w:r w:rsidRPr="00340016">
        <w:rPr>
          <w:lang w:val="en-US"/>
        </w:rPr>
        <w:t>SAIN,LIM</w:t>
      </w:r>
      <w:proofErr w:type="gramEnd"/>
      <w:r w:rsidRPr="00340016">
        <w:rPr>
          <w:lang w:val="en-US"/>
        </w:rPr>
        <w:t xml:space="preserve"> while making targeted adaptations to meet European regulatory and public</w:t>
      </w:r>
      <w:r w:rsidRPr="00340016">
        <w:rPr>
          <w:lang w:val="en-US"/>
        </w:rPr>
        <w:noBreakHyphen/>
        <w:t>health needs. It discriminates foods both between and within categories in ways consistent with dietary recommendations and shows appropriate associations with energy and nutrient density. With further work on data availability and consumer communication, SENS is a promising candidate to underpin simplified nutrition labelling across Europe.</w:t>
      </w:r>
    </w:p>
    <w:p w14:paraId="08608DE3" w14:textId="77777777" w:rsidR="00802DA5" w:rsidRPr="00340016" w:rsidRDefault="00802DA5" w:rsidP="00340016">
      <w:pPr>
        <w:rPr>
          <w:lang w:val="en-US"/>
        </w:rPr>
      </w:pPr>
    </w:p>
    <w:sectPr w:rsidR="00802DA5" w:rsidRPr="00340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743"/>
    <w:multiLevelType w:val="multilevel"/>
    <w:tmpl w:val="540CB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6145D"/>
    <w:multiLevelType w:val="multilevel"/>
    <w:tmpl w:val="DAA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C4E73"/>
    <w:multiLevelType w:val="multilevel"/>
    <w:tmpl w:val="8FA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D2414"/>
    <w:multiLevelType w:val="multilevel"/>
    <w:tmpl w:val="B0DA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A5773"/>
    <w:multiLevelType w:val="multilevel"/>
    <w:tmpl w:val="1A9A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568D5"/>
    <w:multiLevelType w:val="multilevel"/>
    <w:tmpl w:val="231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04222"/>
    <w:multiLevelType w:val="multilevel"/>
    <w:tmpl w:val="8BF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D0ECF"/>
    <w:multiLevelType w:val="multilevel"/>
    <w:tmpl w:val="A23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B52E1"/>
    <w:multiLevelType w:val="multilevel"/>
    <w:tmpl w:val="B03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D255F"/>
    <w:multiLevelType w:val="multilevel"/>
    <w:tmpl w:val="F00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6442E"/>
    <w:multiLevelType w:val="multilevel"/>
    <w:tmpl w:val="C2A4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3162">
    <w:abstractNumId w:val="6"/>
  </w:num>
  <w:num w:numId="2" w16cid:durableId="484273823">
    <w:abstractNumId w:val="4"/>
  </w:num>
  <w:num w:numId="3" w16cid:durableId="2050492544">
    <w:abstractNumId w:val="3"/>
  </w:num>
  <w:num w:numId="4" w16cid:durableId="2021932700">
    <w:abstractNumId w:val="5"/>
  </w:num>
  <w:num w:numId="5" w16cid:durableId="1869832422">
    <w:abstractNumId w:val="2"/>
  </w:num>
  <w:num w:numId="6" w16cid:durableId="1951084663">
    <w:abstractNumId w:val="0"/>
  </w:num>
  <w:num w:numId="7" w16cid:durableId="189490348">
    <w:abstractNumId w:val="1"/>
  </w:num>
  <w:num w:numId="8" w16cid:durableId="1149058721">
    <w:abstractNumId w:val="10"/>
  </w:num>
  <w:num w:numId="9" w16cid:durableId="674653917">
    <w:abstractNumId w:val="9"/>
  </w:num>
  <w:num w:numId="10" w16cid:durableId="659848599">
    <w:abstractNumId w:val="8"/>
  </w:num>
  <w:num w:numId="11" w16cid:durableId="16810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16"/>
    <w:rsid w:val="00340016"/>
    <w:rsid w:val="00802DA5"/>
    <w:rsid w:val="008914AD"/>
    <w:rsid w:val="00AC2C93"/>
    <w:rsid w:val="00AD39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27A6"/>
  <w15:chartTrackingRefBased/>
  <w15:docId w15:val="{A5C2E1DE-EAB1-4F36-8120-56515945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0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0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00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00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00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00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00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00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00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00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00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00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00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00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00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00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00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0016"/>
    <w:rPr>
      <w:rFonts w:eastAsiaTheme="majorEastAsia" w:cstheme="majorBidi"/>
      <w:color w:val="272727" w:themeColor="text1" w:themeTint="D8"/>
    </w:rPr>
  </w:style>
  <w:style w:type="paragraph" w:styleId="Titre">
    <w:name w:val="Title"/>
    <w:basedOn w:val="Normal"/>
    <w:next w:val="Normal"/>
    <w:link w:val="TitreCar"/>
    <w:uiPriority w:val="10"/>
    <w:qFormat/>
    <w:rsid w:val="00340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00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00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00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0016"/>
    <w:pPr>
      <w:spacing w:before="160"/>
      <w:jc w:val="center"/>
    </w:pPr>
    <w:rPr>
      <w:i/>
      <w:iCs/>
      <w:color w:val="404040" w:themeColor="text1" w:themeTint="BF"/>
    </w:rPr>
  </w:style>
  <w:style w:type="character" w:customStyle="1" w:styleId="CitationCar">
    <w:name w:val="Citation Car"/>
    <w:basedOn w:val="Policepardfaut"/>
    <w:link w:val="Citation"/>
    <w:uiPriority w:val="29"/>
    <w:rsid w:val="00340016"/>
    <w:rPr>
      <w:i/>
      <w:iCs/>
      <w:color w:val="404040" w:themeColor="text1" w:themeTint="BF"/>
    </w:rPr>
  </w:style>
  <w:style w:type="paragraph" w:styleId="Paragraphedeliste">
    <w:name w:val="List Paragraph"/>
    <w:basedOn w:val="Normal"/>
    <w:uiPriority w:val="34"/>
    <w:qFormat/>
    <w:rsid w:val="00340016"/>
    <w:pPr>
      <w:ind w:left="720"/>
      <w:contextualSpacing/>
    </w:pPr>
  </w:style>
  <w:style w:type="character" w:styleId="Accentuationintense">
    <w:name w:val="Intense Emphasis"/>
    <w:basedOn w:val="Policepardfaut"/>
    <w:uiPriority w:val="21"/>
    <w:qFormat/>
    <w:rsid w:val="00340016"/>
    <w:rPr>
      <w:i/>
      <w:iCs/>
      <w:color w:val="0F4761" w:themeColor="accent1" w:themeShade="BF"/>
    </w:rPr>
  </w:style>
  <w:style w:type="paragraph" w:styleId="Citationintense">
    <w:name w:val="Intense Quote"/>
    <w:basedOn w:val="Normal"/>
    <w:next w:val="Normal"/>
    <w:link w:val="CitationintenseCar"/>
    <w:uiPriority w:val="30"/>
    <w:qFormat/>
    <w:rsid w:val="0034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0016"/>
    <w:rPr>
      <w:i/>
      <w:iCs/>
      <w:color w:val="0F4761" w:themeColor="accent1" w:themeShade="BF"/>
    </w:rPr>
  </w:style>
  <w:style w:type="character" w:styleId="Rfrenceintense">
    <w:name w:val="Intense Reference"/>
    <w:basedOn w:val="Policepardfaut"/>
    <w:uiPriority w:val="32"/>
    <w:qFormat/>
    <w:rsid w:val="00340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1794</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Richard</dc:creator>
  <cp:keywords/>
  <dc:description/>
  <cp:lastModifiedBy>Christian Richard</cp:lastModifiedBy>
  <cp:revision>1</cp:revision>
  <dcterms:created xsi:type="dcterms:W3CDTF">2026-01-05T08:15:00Z</dcterms:created>
  <dcterms:modified xsi:type="dcterms:W3CDTF">2026-01-05T08:28:00Z</dcterms:modified>
</cp:coreProperties>
</file>